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4E9" w:rsidRDefault="00E754E9" w:rsidP="00E754E9">
      <w:pPr>
        <w:jc w:val="center"/>
        <w:rPr>
          <w:rFonts w:ascii="Arial" w:hAnsi="Arial" w:cs="Arial"/>
          <w:b/>
        </w:rPr>
      </w:pPr>
      <w:r w:rsidRPr="00E74C0A">
        <w:rPr>
          <w:rFonts w:ascii="Arial" w:hAnsi="Arial" w:cs="Arial"/>
          <w:b/>
        </w:rPr>
        <w:t xml:space="preserve">Resumen de cambios </w:t>
      </w:r>
    </w:p>
    <w:p w:rsidR="00E754E9" w:rsidRDefault="00E754E9" w:rsidP="00E754E9">
      <w:pPr>
        <w:pBdr>
          <w:top w:val="single" w:sz="4" w:space="1" w:color="auto"/>
          <w:left w:val="single" w:sz="4" w:space="4" w:color="auto"/>
          <w:bottom w:val="single" w:sz="4" w:space="1" w:color="auto"/>
          <w:right w:val="single" w:sz="4" w:space="4" w:color="auto"/>
        </w:pBdr>
        <w:rPr>
          <w:rFonts w:ascii="Arial" w:hAnsi="Arial" w:cs="Arial"/>
        </w:rPr>
      </w:pPr>
      <w:r w:rsidRPr="00E754E9">
        <w:rPr>
          <w:rFonts w:ascii="Arial" w:hAnsi="Arial" w:cs="Arial"/>
        </w:rPr>
        <w:t>Artículo 4.  El impuesto predial se causará y liquidará anualm</w:t>
      </w:r>
      <w:r>
        <w:rPr>
          <w:rFonts w:ascii="Arial" w:hAnsi="Arial" w:cs="Arial"/>
        </w:rPr>
        <w:t xml:space="preserve">ente, </w:t>
      </w:r>
      <w:r w:rsidRPr="00E754E9">
        <w:rPr>
          <w:rFonts w:ascii="Arial" w:hAnsi="Arial" w:cs="Arial"/>
        </w:rPr>
        <w:t>conforme a las siguientes:</w:t>
      </w:r>
      <w:r>
        <w:rPr>
          <w:rFonts w:ascii="Arial" w:hAnsi="Arial" w:cs="Arial"/>
        </w:rPr>
        <w:t xml:space="preserve"> </w:t>
      </w:r>
    </w:p>
    <w:p w:rsidR="00E754E9" w:rsidRPr="003E520D" w:rsidRDefault="00E754E9" w:rsidP="00E754E9">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I</w:t>
      </w:r>
      <w:r w:rsidRPr="00E754E9">
        <w:rPr>
          <w:rFonts w:ascii="Arial" w:hAnsi="Arial" w:cs="Arial"/>
        </w:rPr>
        <w:t>.  Los inmuebles que cuenten con un valor determinado o modificado a la entrada en vigor de la presente Ley:</w:t>
      </w:r>
    </w:p>
    <w:p w:rsidR="00E754E9" w:rsidRPr="003E520D" w:rsidRDefault="00E754E9" w:rsidP="00E754E9">
      <w:pPr>
        <w:rPr>
          <w:rFonts w:ascii="Arial" w:hAnsi="Arial" w:cs="Arial"/>
        </w:rPr>
      </w:pPr>
      <w:r>
        <w:rPr>
          <w:rFonts w:ascii="Arial" w:hAnsi="Arial" w:cs="Arial"/>
        </w:rPr>
        <w:t xml:space="preserve">Se propone un incremento en el inciso a) del 25%, en el inciso b) del 20% y en el inciso c) del 22.22% </w:t>
      </w:r>
    </w:p>
    <w:p w:rsidR="00E754E9" w:rsidRPr="003E520D" w:rsidRDefault="00E754E9" w:rsidP="00E754E9">
      <w:pPr>
        <w:pBdr>
          <w:top w:val="single" w:sz="4" w:space="1" w:color="auto"/>
          <w:left w:val="single" w:sz="4" w:space="4" w:color="auto"/>
          <w:bottom w:val="single" w:sz="4" w:space="1" w:color="auto"/>
          <w:right w:val="single" w:sz="4" w:space="4" w:color="auto"/>
        </w:pBdr>
        <w:rPr>
          <w:rFonts w:ascii="Arial" w:hAnsi="Arial" w:cs="Arial"/>
        </w:rPr>
      </w:pPr>
      <w:r w:rsidRPr="00E754E9">
        <w:rPr>
          <w:rFonts w:ascii="Arial" w:hAnsi="Arial" w:cs="Arial"/>
        </w:rPr>
        <w:t>II.  Los inmuebles que cuenten con un valor determinado o modificado durante los años 2002 y hasta el 2019 inclusive:</w:t>
      </w:r>
    </w:p>
    <w:p w:rsidR="00E754E9" w:rsidRPr="003E520D" w:rsidRDefault="00E754E9" w:rsidP="00E754E9">
      <w:pPr>
        <w:rPr>
          <w:rFonts w:ascii="Arial" w:hAnsi="Arial" w:cs="Arial"/>
        </w:rPr>
      </w:pPr>
      <w:r w:rsidRPr="003E520D">
        <w:rPr>
          <w:rFonts w:ascii="Arial" w:hAnsi="Arial" w:cs="Arial"/>
        </w:rPr>
        <w:t xml:space="preserve">Se propone </w:t>
      </w:r>
      <w:r>
        <w:rPr>
          <w:rFonts w:ascii="Arial" w:hAnsi="Arial" w:cs="Arial"/>
        </w:rPr>
        <w:t>eliminar dicha fracción, debido a que no es necesario detallar lo aprobado en ejercicios anteriores.</w:t>
      </w:r>
    </w:p>
    <w:p w:rsidR="00E754E9" w:rsidRDefault="000F5D18" w:rsidP="00E754E9">
      <w:pPr>
        <w:pBdr>
          <w:top w:val="single" w:sz="4" w:space="1" w:color="auto"/>
          <w:left w:val="single" w:sz="4" w:space="4" w:color="auto"/>
          <w:bottom w:val="single" w:sz="4" w:space="1" w:color="auto"/>
          <w:right w:val="single" w:sz="4" w:space="4" w:color="auto"/>
        </w:pBdr>
        <w:rPr>
          <w:rFonts w:ascii="Arial" w:hAnsi="Arial" w:cs="Arial"/>
        </w:rPr>
      </w:pPr>
      <w:r w:rsidRPr="000F5D18">
        <w:rPr>
          <w:rFonts w:ascii="Arial" w:hAnsi="Arial" w:cs="Arial"/>
        </w:rPr>
        <w:t>Artículo 5.  Los valores que se aplicarán a los inmuebles para el año 2020, serán los siguientes:</w:t>
      </w:r>
    </w:p>
    <w:p w:rsidR="000F5D18" w:rsidRDefault="000F5D18" w:rsidP="00E754E9">
      <w:pPr>
        <w:pBdr>
          <w:top w:val="single" w:sz="4" w:space="1" w:color="auto"/>
          <w:left w:val="single" w:sz="4" w:space="4" w:color="auto"/>
          <w:bottom w:val="single" w:sz="4" w:space="1" w:color="auto"/>
          <w:right w:val="single" w:sz="4" w:space="4" w:color="auto"/>
        </w:pBdr>
        <w:rPr>
          <w:rFonts w:ascii="Arial" w:hAnsi="Arial" w:cs="Arial"/>
        </w:rPr>
      </w:pPr>
      <w:r w:rsidRPr="000F5D18">
        <w:rPr>
          <w:rFonts w:ascii="Arial" w:hAnsi="Arial" w:cs="Arial"/>
        </w:rPr>
        <w:t>I. Tratándose de inmuebles urbanos</w:t>
      </w:r>
    </w:p>
    <w:p w:rsidR="000F5D18" w:rsidRPr="003E520D" w:rsidRDefault="000F5D18" w:rsidP="00E754E9">
      <w:pPr>
        <w:pBdr>
          <w:top w:val="single" w:sz="4" w:space="1" w:color="auto"/>
          <w:left w:val="single" w:sz="4" w:space="4" w:color="auto"/>
          <w:bottom w:val="single" w:sz="4" w:space="1" w:color="auto"/>
          <w:right w:val="single" w:sz="4" w:space="4" w:color="auto"/>
        </w:pBdr>
        <w:rPr>
          <w:rFonts w:ascii="Arial" w:hAnsi="Arial" w:cs="Arial"/>
        </w:rPr>
      </w:pPr>
      <w:r w:rsidRPr="000F5D18">
        <w:rPr>
          <w:rFonts w:ascii="Arial" w:hAnsi="Arial" w:cs="Arial"/>
        </w:rPr>
        <w:t>a) Valores unitarios de terreno expresados en pesos por metro cuadrado</w:t>
      </w:r>
    </w:p>
    <w:p w:rsidR="00E754E9" w:rsidRPr="003E520D" w:rsidRDefault="000F5D18" w:rsidP="000F5D18">
      <w:pPr>
        <w:tabs>
          <w:tab w:val="left" w:pos="426"/>
        </w:tabs>
        <w:rPr>
          <w:rFonts w:ascii="Arial" w:hAnsi="Arial" w:cs="Arial"/>
        </w:rPr>
      </w:pPr>
      <w:r>
        <w:rPr>
          <w:rFonts w:ascii="Arial" w:hAnsi="Arial" w:cs="Arial"/>
        </w:rPr>
        <w:t xml:space="preserve">Se propone una restructura conforme al Estudio Técnico de Valores Unitarios del Municipio de Guanajuato, </w:t>
      </w:r>
      <w:proofErr w:type="spellStart"/>
      <w:r>
        <w:rPr>
          <w:rFonts w:ascii="Arial" w:hAnsi="Arial" w:cs="Arial"/>
        </w:rPr>
        <w:t>Gto</w:t>
      </w:r>
      <w:proofErr w:type="spellEnd"/>
      <w:r>
        <w:rPr>
          <w:rFonts w:ascii="Arial" w:hAnsi="Arial" w:cs="Arial"/>
        </w:rPr>
        <w:t>.</w:t>
      </w:r>
    </w:p>
    <w:p w:rsidR="00E754E9" w:rsidRPr="003E520D" w:rsidRDefault="000F5D18" w:rsidP="00E754E9">
      <w:pPr>
        <w:pBdr>
          <w:top w:val="single" w:sz="4" w:space="1" w:color="auto"/>
          <w:left w:val="single" w:sz="4" w:space="4" w:color="auto"/>
          <w:bottom w:val="single" w:sz="4" w:space="1" w:color="auto"/>
          <w:right w:val="single" w:sz="4" w:space="4" w:color="auto"/>
        </w:pBdr>
        <w:rPr>
          <w:rFonts w:ascii="Arial" w:hAnsi="Arial" w:cs="Arial"/>
        </w:rPr>
      </w:pPr>
      <w:r w:rsidRPr="000F5D18">
        <w:rPr>
          <w:rFonts w:ascii="Arial" w:hAnsi="Arial" w:cs="Arial"/>
        </w:rPr>
        <w:t>b) Valores unitarios de construcción expresados en pesos por metro cuadrado</w:t>
      </w:r>
    </w:p>
    <w:p w:rsidR="000F5D18" w:rsidRPr="003E520D" w:rsidRDefault="000F5D18" w:rsidP="000F5D18">
      <w:pPr>
        <w:tabs>
          <w:tab w:val="left" w:pos="426"/>
        </w:tabs>
        <w:rPr>
          <w:rFonts w:ascii="Arial" w:hAnsi="Arial" w:cs="Arial"/>
        </w:rPr>
      </w:pPr>
      <w:r>
        <w:rPr>
          <w:rFonts w:ascii="Arial" w:hAnsi="Arial" w:cs="Arial"/>
        </w:rPr>
        <w:t xml:space="preserve">Se propone una restructura conforme al Estudio Técnico de Valores Unitarios del Municipio de Guanajuato, </w:t>
      </w:r>
      <w:proofErr w:type="spellStart"/>
      <w:r>
        <w:rPr>
          <w:rFonts w:ascii="Arial" w:hAnsi="Arial" w:cs="Arial"/>
        </w:rPr>
        <w:t>Gto</w:t>
      </w:r>
      <w:proofErr w:type="spellEnd"/>
      <w:r>
        <w:rPr>
          <w:rFonts w:ascii="Arial" w:hAnsi="Arial" w:cs="Arial"/>
        </w:rPr>
        <w:t>.</w:t>
      </w:r>
    </w:p>
    <w:p w:rsidR="00E754E9" w:rsidRDefault="000F5D18" w:rsidP="00E754E9">
      <w:pPr>
        <w:pBdr>
          <w:top w:val="single" w:sz="4" w:space="1" w:color="auto"/>
          <w:left w:val="single" w:sz="4" w:space="4" w:color="auto"/>
          <w:bottom w:val="single" w:sz="4" w:space="1" w:color="auto"/>
          <w:right w:val="single" w:sz="4" w:space="4" w:color="auto"/>
        </w:pBdr>
        <w:rPr>
          <w:rFonts w:ascii="Arial" w:hAnsi="Arial" w:cs="Arial"/>
        </w:rPr>
      </w:pPr>
      <w:r w:rsidRPr="000F5D18">
        <w:rPr>
          <w:rFonts w:ascii="Arial" w:hAnsi="Arial" w:cs="Arial"/>
        </w:rPr>
        <w:t>II. Tratándose de inmuebles rústicos:</w:t>
      </w:r>
    </w:p>
    <w:p w:rsidR="00184E11" w:rsidRDefault="00184E11" w:rsidP="00E754E9">
      <w:pPr>
        <w:pBdr>
          <w:top w:val="single" w:sz="4" w:space="1" w:color="auto"/>
          <w:left w:val="single" w:sz="4" w:space="4" w:color="auto"/>
          <w:bottom w:val="single" w:sz="4" w:space="1" w:color="auto"/>
          <w:right w:val="single" w:sz="4" w:space="4" w:color="auto"/>
        </w:pBdr>
        <w:rPr>
          <w:rFonts w:ascii="Arial" w:hAnsi="Arial" w:cs="Arial"/>
        </w:rPr>
      </w:pPr>
      <w:r w:rsidRPr="00184E11">
        <w:rPr>
          <w:rFonts w:ascii="Arial" w:hAnsi="Arial" w:cs="Arial"/>
        </w:rPr>
        <w:t>a).   Tabla de valores base para terrenos rurales en pesos por hectárea:</w:t>
      </w:r>
    </w:p>
    <w:p w:rsidR="00332F18" w:rsidRPr="003E520D" w:rsidRDefault="00332F18" w:rsidP="00E754E9">
      <w:pPr>
        <w:pBdr>
          <w:top w:val="single" w:sz="4" w:space="1" w:color="auto"/>
          <w:left w:val="single" w:sz="4" w:space="4" w:color="auto"/>
          <w:bottom w:val="single" w:sz="4" w:space="1" w:color="auto"/>
          <w:right w:val="single" w:sz="4" w:space="4" w:color="auto"/>
        </w:pBdr>
        <w:rPr>
          <w:rFonts w:ascii="Arial" w:hAnsi="Arial" w:cs="Arial"/>
        </w:rPr>
      </w:pPr>
      <w:r w:rsidRPr="00332F18">
        <w:rPr>
          <w:rFonts w:ascii="Arial" w:hAnsi="Arial" w:cs="Arial"/>
        </w:rPr>
        <w:t>b) Tabla de valores expresados en pesos por metro cuadrado para inmuebles menores de una hectárea no dedicados a la agricultura (pie de casa o solar):</w:t>
      </w:r>
    </w:p>
    <w:p w:rsidR="00E754E9" w:rsidRDefault="00184E11" w:rsidP="00E754E9">
      <w:pPr>
        <w:rPr>
          <w:rFonts w:ascii="Arial" w:hAnsi="Arial" w:cs="Arial"/>
        </w:rPr>
      </w:pPr>
      <w:r>
        <w:rPr>
          <w:rFonts w:ascii="Arial" w:hAnsi="Arial" w:cs="Arial"/>
        </w:rPr>
        <w:t>Se propone a una actualización sobre los valores, conforme al estudio realizado sobre terrenos rústicos.</w:t>
      </w:r>
    </w:p>
    <w:p w:rsidR="008D27D1" w:rsidRDefault="008D27D1" w:rsidP="00E754E9">
      <w:pPr>
        <w:rPr>
          <w:rFonts w:ascii="Arial" w:hAnsi="Arial" w:cs="Arial"/>
        </w:rPr>
      </w:pPr>
    </w:p>
    <w:p w:rsidR="008D27D1" w:rsidRDefault="008D27D1" w:rsidP="008D27D1">
      <w:pPr>
        <w:pBdr>
          <w:top w:val="single" w:sz="4" w:space="1" w:color="auto"/>
          <w:left w:val="single" w:sz="4" w:space="4" w:color="auto"/>
          <w:bottom w:val="single" w:sz="4" w:space="1" w:color="auto"/>
          <w:right w:val="single" w:sz="4" w:space="4" w:color="auto"/>
        </w:pBdr>
        <w:rPr>
          <w:rFonts w:ascii="Arial" w:hAnsi="Arial" w:cs="Arial"/>
        </w:rPr>
      </w:pPr>
      <w:r w:rsidRPr="008D27D1">
        <w:rPr>
          <w:rFonts w:ascii="Arial" w:hAnsi="Arial" w:cs="Arial"/>
        </w:rPr>
        <w:t>Artículo 7.   El impuesto sobre adquisición de bienes inmuebles se causará y liquidará</w:t>
      </w:r>
      <w:r>
        <w:rPr>
          <w:rFonts w:ascii="Arial" w:hAnsi="Arial" w:cs="Arial"/>
        </w:rPr>
        <w:t xml:space="preserve"> conforme a lo siguientes tasas:</w:t>
      </w:r>
    </w:p>
    <w:p w:rsidR="008D27D1" w:rsidRPr="003E520D" w:rsidRDefault="008D27D1" w:rsidP="008D27D1">
      <w:pPr>
        <w:pBdr>
          <w:top w:val="single" w:sz="4" w:space="1" w:color="auto"/>
          <w:left w:val="single" w:sz="4" w:space="4" w:color="auto"/>
          <w:bottom w:val="single" w:sz="4" w:space="1" w:color="auto"/>
          <w:right w:val="single" w:sz="4" w:space="4" w:color="auto"/>
        </w:pBdr>
        <w:rPr>
          <w:rFonts w:ascii="Arial" w:hAnsi="Arial" w:cs="Arial"/>
        </w:rPr>
      </w:pPr>
      <w:r w:rsidRPr="008D27D1">
        <w:rPr>
          <w:noProof/>
          <w:lang w:eastAsia="es-MX"/>
        </w:rPr>
        <w:lastRenderedPageBreak/>
        <w:drawing>
          <wp:inline distT="0" distB="0" distL="0" distR="0">
            <wp:extent cx="4631348" cy="1578522"/>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497" cy="1584367"/>
                    </a:xfrm>
                    <a:prstGeom prst="rect">
                      <a:avLst/>
                    </a:prstGeom>
                    <a:noFill/>
                    <a:ln>
                      <a:noFill/>
                    </a:ln>
                  </pic:spPr>
                </pic:pic>
              </a:graphicData>
            </a:graphic>
          </wp:inline>
        </w:drawing>
      </w:r>
    </w:p>
    <w:p w:rsidR="008D27D1" w:rsidRPr="003E520D" w:rsidRDefault="008D27D1" w:rsidP="008D27D1">
      <w:pPr>
        <w:tabs>
          <w:tab w:val="left" w:pos="426"/>
        </w:tabs>
        <w:rPr>
          <w:rFonts w:ascii="Arial" w:hAnsi="Arial" w:cs="Arial"/>
        </w:rPr>
      </w:pPr>
      <w:r>
        <w:rPr>
          <w:rFonts w:ascii="Arial" w:hAnsi="Arial" w:cs="Arial"/>
        </w:rPr>
        <w:t>Se propone un incremento en la tasa inicial del 0.45%, por lo que de manera conducente las demás tarifas aumentan de manera proporcional.</w:t>
      </w:r>
    </w:p>
    <w:p w:rsidR="00332F18" w:rsidRPr="003E520D" w:rsidRDefault="00332F18" w:rsidP="00E754E9">
      <w:pPr>
        <w:rPr>
          <w:rFonts w:ascii="Arial" w:hAnsi="Arial" w:cs="Arial"/>
        </w:rPr>
      </w:pPr>
    </w:p>
    <w:p w:rsidR="00332F18" w:rsidRDefault="00332F18" w:rsidP="00332F18">
      <w:pPr>
        <w:pBdr>
          <w:top w:val="single" w:sz="4" w:space="1" w:color="auto"/>
          <w:left w:val="single" w:sz="4" w:space="4" w:color="auto"/>
          <w:bottom w:val="single" w:sz="4" w:space="1" w:color="auto"/>
          <w:right w:val="single" w:sz="4" w:space="4" w:color="auto"/>
        </w:pBdr>
        <w:rPr>
          <w:rFonts w:ascii="Arial" w:hAnsi="Arial" w:cs="Arial"/>
        </w:rPr>
      </w:pPr>
      <w:r w:rsidRPr="00332F18">
        <w:rPr>
          <w:rFonts w:ascii="Arial" w:hAnsi="Arial" w:cs="Arial"/>
        </w:rPr>
        <w:t>Artículo 15.  La prestación del servicio público de limpia, recolección, traslado, tratamiento, disposición final y aprovechamiento de residuo será gratuita, salvo lo dispuesto por este artículo.</w:t>
      </w:r>
    </w:p>
    <w:p w:rsidR="00ED2879" w:rsidRPr="003E520D" w:rsidRDefault="00ED2879" w:rsidP="00332F18">
      <w:pPr>
        <w:pBdr>
          <w:top w:val="single" w:sz="4" w:space="1" w:color="auto"/>
          <w:left w:val="single" w:sz="4" w:space="4" w:color="auto"/>
          <w:bottom w:val="single" w:sz="4" w:space="1" w:color="auto"/>
          <w:right w:val="single" w:sz="4" w:space="4" w:color="auto"/>
        </w:pBdr>
        <w:rPr>
          <w:rFonts w:ascii="Arial" w:hAnsi="Arial" w:cs="Arial"/>
        </w:rPr>
      </w:pPr>
      <w:r w:rsidRPr="00ED2879">
        <w:rPr>
          <w:rFonts w:ascii="Arial" w:hAnsi="Arial" w:cs="Arial"/>
        </w:rPr>
        <w:t>I. Traslado de residuos por kg o fracción</w:t>
      </w:r>
    </w:p>
    <w:p w:rsidR="00332F18" w:rsidRDefault="00ED2879" w:rsidP="00332F18">
      <w:pPr>
        <w:rPr>
          <w:rFonts w:ascii="Arial" w:hAnsi="Arial" w:cs="Arial"/>
        </w:rPr>
      </w:pPr>
      <w:r>
        <w:rPr>
          <w:rFonts w:ascii="Arial" w:hAnsi="Arial" w:cs="Arial"/>
        </w:rPr>
        <w:t>Se propone una tarifa de $1.31</w:t>
      </w:r>
      <w:r w:rsidR="00332F18">
        <w:rPr>
          <w:rFonts w:ascii="Arial" w:hAnsi="Arial" w:cs="Arial"/>
        </w:rPr>
        <w:t>, lo que representa un aumento de 166.84% conforme a la tarifa autorizada en el 2019.</w:t>
      </w:r>
    </w:p>
    <w:p w:rsidR="00ED2879" w:rsidRDefault="00ED2879" w:rsidP="00ED2879">
      <w:pPr>
        <w:pBdr>
          <w:top w:val="single" w:sz="4" w:space="1" w:color="auto"/>
          <w:left w:val="single" w:sz="4" w:space="4" w:color="auto"/>
          <w:bottom w:val="single" w:sz="4" w:space="1" w:color="auto"/>
          <w:right w:val="single" w:sz="4" w:space="4" w:color="auto"/>
        </w:pBdr>
        <w:rPr>
          <w:rFonts w:ascii="Arial" w:hAnsi="Arial" w:cs="Arial"/>
        </w:rPr>
      </w:pPr>
      <w:r w:rsidRPr="00332F18">
        <w:rPr>
          <w:rFonts w:ascii="Arial" w:hAnsi="Arial" w:cs="Arial"/>
        </w:rPr>
        <w:t>Artículo 15.  La prestación del servicio público de limpia, recolección, traslado, tratamiento, disposición final y aprovechamiento de residuo será gratuita, salvo lo dispuesto por este artículo.</w:t>
      </w:r>
    </w:p>
    <w:p w:rsidR="00ED2879" w:rsidRPr="003E520D" w:rsidRDefault="00ED2879" w:rsidP="00ED2879">
      <w:pPr>
        <w:pBdr>
          <w:top w:val="single" w:sz="4" w:space="1" w:color="auto"/>
          <w:left w:val="single" w:sz="4" w:space="4" w:color="auto"/>
          <w:bottom w:val="single" w:sz="4" w:space="1" w:color="auto"/>
          <w:right w:val="single" w:sz="4" w:space="4" w:color="auto"/>
        </w:pBdr>
        <w:rPr>
          <w:rFonts w:ascii="Arial" w:hAnsi="Arial" w:cs="Arial"/>
        </w:rPr>
      </w:pPr>
      <w:r w:rsidRPr="00ED2879">
        <w:rPr>
          <w:rFonts w:ascii="Arial" w:hAnsi="Arial" w:cs="Arial"/>
        </w:rPr>
        <w:t>II. Traslado de residuos para comerciantes en la vía pública por kg o fracción por día</w:t>
      </w:r>
    </w:p>
    <w:p w:rsidR="00ED2879" w:rsidRDefault="00ED2879" w:rsidP="00ED2879">
      <w:pPr>
        <w:rPr>
          <w:rFonts w:ascii="Arial" w:hAnsi="Arial" w:cs="Arial"/>
        </w:rPr>
      </w:pPr>
      <w:r>
        <w:rPr>
          <w:rFonts w:ascii="Arial" w:hAnsi="Arial" w:cs="Arial"/>
        </w:rPr>
        <w:t>Se propone un concepto nuevo con la finalidad de establecer una tarifa para los comerciantes en vía pública.</w:t>
      </w:r>
    </w:p>
    <w:p w:rsidR="002821F4" w:rsidRDefault="002821F4" w:rsidP="002821F4">
      <w:pPr>
        <w:pBdr>
          <w:top w:val="single" w:sz="4" w:space="1" w:color="auto"/>
          <w:left w:val="single" w:sz="4" w:space="4" w:color="auto"/>
          <w:bottom w:val="single" w:sz="4" w:space="1" w:color="auto"/>
          <w:right w:val="single" w:sz="4" w:space="4" w:color="auto"/>
        </w:pBdr>
        <w:rPr>
          <w:rFonts w:ascii="Arial" w:hAnsi="Arial" w:cs="Arial"/>
        </w:rPr>
      </w:pPr>
      <w:r w:rsidRPr="002821F4">
        <w:rPr>
          <w:rFonts w:ascii="Arial" w:hAnsi="Arial" w:cs="Arial"/>
        </w:rPr>
        <w:t>Artículo 18. Por la prestación de los servicios de seguridad pública, cuando medie solicitud, se causarán y liquidarán conforme a lo siguiente:</w:t>
      </w:r>
    </w:p>
    <w:p w:rsidR="002821F4" w:rsidRPr="003E520D" w:rsidRDefault="002821F4" w:rsidP="002821F4">
      <w:pPr>
        <w:pBdr>
          <w:top w:val="single" w:sz="4" w:space="1" w:color="auto"/>
          <w:left w:val="single" w:sz="4" w:space="4" w:color="auto"/>
          <w:bottom w:val="single" w:sz="4" w:space="1" w:color="auto"/>
          <w:right w:val="single" w:sz="4" w:space="4" w:color="auto"/>
        </w:pBdr>
        <w:rPr>
          <w:rFonts w:ascii="Arial" w:hAnsi="Arial" w:cs="Arial"/>
        </w:rPr>
      </w:pPr>
      <w:r w:rsidRPr="002821F4">
        <w:rPr>
          <w:rFonts w:ascii="Arial" w:hAnsi="Arial" w:cs="Arial"/>
        </w:rPr>
        <w:t xml:space="preserve">I. Pago de vigilancia por evento, por elemento policial con duración de 6 </w:t>
      </w:r>
      <w:proofErr w:type="spellStart"/>
      <w:r w:rsidRPr="002821F4">
        <w:rPr>
          <w:rFonts w:ascii="Arial" w:hAnsi="Arial" w:cs="Arial"/>
        </w:rPr>
        <w:t>hrs</w:t>
      </w:r>
      <w:proofErr w:type="spellEnd"/>
      <w:r w:rsidRPr="002821F4">
        <w:rPr>
          <w:rFonts w:ascii="Arial" w:hAnsi="Arial" w:cs="Arial"/>
        </w:rPr>
        <w:t>.</w:t>
      </w:r>
    </w:p>
    <w:p w:rsidR="002821F4" w:rsidRDefault="002821F4" w:rsidP="002821F4">
      <w:pPr>
        <w:rPr>
          <w:rFonts w:ascii="Arial" w:hAnsi="Arial" w:cs="Arial"/>
        </w:rPr>
      </w:pPr>
      <w:r>
        <w:rPr>
          <w:rFonts w:ascii="Arial" w:hAnsi="Arial" w:cs="Arial"/>
        </w:rPr>
        <w:t>Propuesta sobre eliminar dicha fracción, al no tener facultad para el cobro por este concepto.</w:t>
      </w:r>
    </w:p>
    <w:p w:rsidR="002821F4" w:rsidRPr="003E520D" w:rsidRDefault="002821F4" w:rsidP="002821F4">
      <w:pPr>
        <w:pBdr>
          <w:top w:val="single" w:sz="4" w:space="1" w:color="auto"/>
          <w:left w:val="single" w:sz="4" w:space="4" w:color="auto"/>
          <w:bottom w:val="single" w:sz="4" w:space="1" w:color="auto"/>
          <w:right w:val="single" w:sz="4" w:space="4" w:color="auto"/>
        </w:pBdr>
        <w:rPr>
          <w:rFonts w:ascii="Arial" w:hAnsi="Arial" w:cs="Arial"/>
        </w:rPr>
      </w:pPr>
      <w:r w:rsidRPr="002821F4">
        <w:rPr>
          <w:rFonts w:ascii="Arial" w:hAnsi="Arial" w:cs="Arial"/>
        </w:rPr>
        <w:t>I</w:t>
      </w:r>
      <w:r w:rsidR="00D25D09">
        <w:rPr>
          <w:rFonts w:ascii="Arial" w:hAnsi="Arial" w:cs="Arial"/>
        </w:rPr>
        <w:t>I</w:t>
      </w:r>
      <w:r w:rsidRPr="002821F4">
        <w:rPr>
          <w:rFonts w:ascii="Arial" w:hAnsi="Arial" w:cs="Arial"/>
        </w:rPr>
        <w:t>.  Pago de vigilancia por período mensual.</w:t>
      </w:r>
    </w:p>
    <w:p w:rsidR="002821F4" w:rsidRDefault="002821F4" w:rsidP="002821F4">
      <w:pPr>
        <w:rPr>
          <w:rFonts w:ascii="Arial" w:hAnsi="Arial" w:cs="Arial"/>
        </w:rPr>
      </w:pPr>
      <w:r>
        <w:rPr>
          <w:rFonts w:ascii="Arial" w:hAnsi="Arial" w:cs="Arial"/>
        </w:rPr>
        <w:t xml:space="preserve">Propuesta sobre un incremento 27.22% </w:t>
      </w:r>
    </w:p>
    <w:p w:rsidR="002E790C" w:rsidRDefault="002E790C" w:rsidP="002E790C">
      <w:pPr>
        <w:pBdr>
          <w:top w:val="single" w:sz="4" w:space="1" w:color="auto"/>
          <w:left w:val="single" w:sz="4" w:space="4" w:color="auto"/>
          <w:bottom w:val="single" w:sz="4" w:space="1" w:color="auto"/>
          <w:right w:val="single" w:sz="4" w:space="4" w:color="auto"/>
        </w:pBdr>
        <w:rPr>
          <w:rFonts w:ascii="Arial" w:hAnsi="Arial" w:cs="Arial"/>
        </w:rPr>
      </w:pPr>
      <w:r w:rsidRPr="002E790C">
        <w:rPr>
          <w:rFonts w:ascii="Arial" w:hAnsi="Arial" w:cs="Arial"/>
        </w:rPr>
        <w:lastRenderedPageBreak/>
        <w:t>Artículo 19. Los derechos por el servicio público de transporte de personas urbano y suburbano en ruta fija se causarán y liquidarán por vehículo, conforme a la siguiente:</w:t>
      </w:r>
    </w:p>
    <w:p w:rsidR="00A17B47" w:rsidRPr="003E520D" w:rsidRDefault="00A17B47" w:rsidP="002E790C">
      <w:pPr>
        <w:pBdr>
          <w:top w:val="single" w:sz="4" w:space="1" w:color="auto"/>
          <w:left w:val="single" w:sz="4" w:space="4" w:color="auto"/>
          <w:bottom w:val="single" w:sz="4" w:space="1" w:color="auto"/>
          <w:right w:val="single" w:sz="4" w:space="4" w:color="auto"/>
        </w:pBdr>
        <w:rPr>
          <w:rFonts w:ascii="Arial" w:hAnsi="Arial" w:cs="Arial"/>
        </w:rPr>
      </w:pPr>
      <w:r w:rsidRPr="00A17B47">
        <w:rPr>
          <w:rFonts w:ascii="Arial" w:hAnsi="Arial" w:cs="Arial"/>
        </w:rPr>
        <w:t>VII. Por revista mecánica semestral obligatoria o a petición del propietario</w:t>
      </w:r>
    </w:p>
    <w:p w:rsidR="00332F18" w:rsidRDefault="00A17B47" w:rsidP="00332F18">
      <w:pPr>
        <w:rPr>
          <w:rFonts w:ascii="Arial" w:hAnsi="Arial" w:cs="Arial"/>
        </w:rPr>
      </w:pPr>
      <w:r>
        <w:rPr>
          <w:rFonts w:ascii="Arial" w:hAnsi="Arial" w:cs="Arial"/>
        </w:rPr>
        <w:t>Se propone un incremento del 50.35%</w:t>
      </w:r>
    </w:p>
    <w:p w:rsidR="00A17B47" w:rsidRDefault="00A17B47" w:rsidP="00A17B47">
      <w:pPr>
        <w:pBdr>
          <w:top w:val="single" w:sz="4" w:space="1" w:color="auto"/>
          <w:left w:val="single" w:sz="4" w:space="4" w:color="auto"/>
          <w:bottom w:val="single" w:sz="4" w:space="1" w:color="auto"/>
          <w:right w:val="single" w:sz="4" w:space="4" w:color="auto"/>
        </w:pBdr>
        <w:rPr>
          <w:rFonts w:ascii="Arial" w:hAnsi="Arial" w:cs="Arial"/>
        </w:rPr>
      </w:pPr>
      <w:r w:rsidRPr="00A17B47">
        <w:rPr>
          <w:rFonts w:ascii="Arial" w:hAnsi="Arial" w:cs="Arial"/>
        </w:rPr>
        <w:t>VIII. Autorización por prórroga para uso de unidades en buen estado, por un año.</w:t>
      </w:r>
    </w:p>
    <w:p w:rsidR="00A17B47" w:rsidRDefault="00A17B47" w:rsidP="00A17B47">
      <w:pPr>
        <w:rPr>
          <w:rFonts w:ascii="Arial" w:hAnsi="Arial" w:cs="Arial"/>
        </w:rPr>
      </w:pPr>
      <w:r>
        <w:rPr>
          <w:rFonts w:ascii="Arial" w:hAnsi="Arial" w:cs="Arial"/>
        </w:rPr>
        <w:t xml:space="preserve">Se propone un incremento del </w:t>
      </w:r>
      <w:r w:rsidR="00812BC5">
        <w:rPr>
          <w:rFonts w:ascii="Arial" w:hAnsi="Arial" w:cs="Arial"/>
        </w:rPr>
        <w:t>1114.93</w:t>
      </w:r>
      <w:r>
        <w:rPr>
          <w:rFonts w:ascii="Arial" w:hAnsi="Arial" w:cs="Arial"/>
        </w:rPr>
        <w:t>%</w:t>
      </w:r>
    </w:p>
    <w:p w:rsidR="00A17B47" w:rsidRDefault="00A17B47" w:rsidP="00A17B47">
      <w:pPr>
        <w:pBdr>
          <w:top w:val="single" w:sz="4" w:space="1" w:color="auto"/>
          <w:left w:val="single" w:sz="4" w:space="4" w:color="auto"/>
          <w:bottom w:val="single" w:sz="4" w:space="1" w:color="auto"/>
          <w:right w:val="single" w:sz="4" w:space="4" w:color="auto"/>
        </w:pBdr>
        <w:rPr>
          <w:rFonts w:ascii="Arial" w:hAnsi="Arial" w:cs="Arial"/>
        </w:rPr>
      </w:pPr>
      <w:r w:rsidRPr="00A17B47">
        <w:rPr>
          <w:rFonts w:ascii="Arial" w:hAnsi="Arial" w:cs="Arial"/>
        </w:rPr>
        <w:t>Artículo 21. Los derechos por la prestación del servicio de estacionamientos públicos, se causarán y liquidarán de acuerdo a las siguientes fracciones</w:t>
      </w:r>
      <w:r>
        <w:rPr>
          <w:rFonts w:ascii="Arial" w:hAnsi="Arial" w:cs="Arial"/>
        </w:rPr>
        <w:t xml:space="preserve"> I, II y II</w:t>
      </w:r>
      <w:r w:rsidRPr="00A17B47">
        <w:rPr>
          <w:rFonts w:ascii="Arial" w:hAnsi="Arial" w:cs="Arial"/>
        </w:rPr>
        <w:t>:</w:t>
      </w:r>
    </w:p>
    <w:p w:rsidR="00A17B47" w:rsidRDefault="00A17B47" w:rsidP="00A17B47">
      <w:pPr>
        <w:rPr>
          <w:rFonts w:ascii="Arial" w:hAnsi="Arial" w:cs="Arial"/>
        </w:rPr>
      </w:pPr>
      <w:r>
        <w:rPr>
          <w:rFonts w:ascii="Arial" w:hAnsi="Arial" w:cs="Arial"/>
        </w:rPr>
        <w:t xml:space="preserve">Se propone un cambio en el concepto con la finalidad de disminuir el tiempo de tolerancia en 5 minutos. </w:t>
      </w:r>
    </w:p>
    <w:p w:rsidR="00D15499" w:rsidRDefault="00D15499" w:rsidP="00D15499">
      <w:pPr>
        <w:pBdr>
          <w:top w:val="single" w:sz="4" w:space="1" w:color="auto"/>
          <w:left w:val="single" w:sz="4" w:space="4" w:color="auto"/>
          <w:bottom w:val="single" w:sz="4" w:space="1" w:color="auto"/>
          <w:right w:val="single" w:sz="4" w:space="4" w:color="auto"/>
        </w:pBdr>
        <w:rPr>
          <w:rFonts w:ascii="Arial" w:hAnsi="Arial" w:cs="Arial"/>
        </w:rPr>
      </w:pPr>
      <w:r w:rsidRPr="00D15499">
        <w:rPr>
          <w:rFonts w:ascii="Arial" w:hAnsi="Arial" w:cs="Arial"/>
        </w:rPr>
        <w:t>Artículo 23. Los derechos por la prestación de los servicios de protección civil se causarán y liquidarán conforme a la siguiente:</w:t>
      </w:r>
    </w:p>
    <w:p w:rsidR="00D15499" w:rsidRDefault="00D15499" w:rsidP="00D15499">
      <w:pPr>
        <w:pBdr>
          <w:top w:val="single" w:sz="4" w:space="1" w:color="auto"/>
          <w:left w:val="single" w:sz="4" w:space="4" w:color="auto"/>
          <w:bottom w:val="single" w:sz="4" w:space="1" w:color="auto"/>
          <w:right w:val="single" w:sz="4" w:space="4" w:color="auto"/>
        </w:pBdr>
        <w:rPr>
          <w:rFonts w:ascii="Arial" w:hAnsi="Arial" w:cs="Arial"/>
        </w:rPr>
      </w:pPr>
      <w:r w:rsidRPr="00D15499">
        <w:rPr>
          <w:rFonts w:ascii="Arial" w:hAnsi="Arial" w:cs="Arial"/>
        </w:rPr>
        <w:t xml:space="preserve">III. Análisis de Riesgo     </w:t>
      </w:r>
    </w:p>
    <w:p w:rsidR="00D15499" w:rsidRDefault="00D15499" w:rsidP="00D15499">
      <w:pPr>
        <w:rPr>
          <w:rFonts w:ascii="Arial" w:hAnsi="Arial" w:cs="Arial"/>
        </w:rPr>
      </w:pPr>
      <w:r>
        <w:rPr>
          <w:rFonts w:ascii="Arial" w:hAnsi="Arial" w:cs="Arial"/>
        </w:rPr>
        <w:t>Se propone un aumento del 6%</w:t>
      </w:r>
    </w:p>
    <w:p w:rsidR="00D15499" w:rsidRDefault="00D15499" w:rsidP="00D15499">
      <w:pPr>
        <w:pBdr>
          <w:top w:val="single" w:sz="4" w:space="1" w:color="auto"/>
          <w:left w:val="single" w:sz="4" w:space="4" w:color="auto"/>
          <w:bottom w:val="single" w:sz="4" w:space="1" w:color="auto"/>
          <w:right w:val="single" w:sz="4" w:space="4" w:color="auto"/>
        </w:pBdr>
        <w:rPr>
          <w:rFonts w:ascii="Arial" w:hAnsi="Arial" w:cs="Arial"/>
        </w:rPr>
      </w:pPr>
      <w:r w:rsidRPr="00D15499">
        <w:rPr>
          <w:rFonts w:ascii="Arial" w:hAnsi="Arial" w:cs="Arial"/>
        </w:rPr>
        <w:t xml:space="preserve">IV. Conformidad para uso y quema de fuegos pirotécnicos     </w:t>
      </w:r>
    </w:p>
    <w:p w:rsidR="00D15499" w:rsidRDefault="00D15499" w:rsidP="00D15499">
      <w:pPr>
        <w:rPr>
          <w:rFonts w:ascii="Arial" w:hAnsi="Arial" w:cs="Arial"/>
        </w:rPr>
      </w:pPr>
      <w:r>
        <w:rPr>
          <w:rFonts w:ascii="Arial" w:hAnsi="Arial" w:cs="Arial"/>
        </w:rPr>
        <w:t xml:space="preserve">Se propone un aumento del </w:t>
      </w:r>
      <w:r w:rsidR="005635BB">
        <w:rPr>
          <w:rFonts w:ascii="Arial" w:hAnsi="Arial" w:cs="Arial"/>
        </w:rPr>
        <w:t>680.45</w:t>
      </w:r>
      <w:bookmarkStart w:id="0" w:name="_GoBack"/>
      <w:bookmarkEnd w:id="0"/>
      <w:r>
        <w:rPr>
          <w:rFonts w:ascii="Arial" w:hAnsi="Arial" w:cs="Arial"/>
        </w:rPr>
        <w:t>%</w:t>
      </w:r>
    </w:p>
    <w:p w:rsidR="00D15499" w:rsidRDefault="00D15499" w:rsidP="00D15499">
      <w:pPr>
        <w:pBdr>
          <w:top w:val="single" w:sz="4" w:space="1" w:color="auto"/>
          <w:left w:val="single" w:sz="4" w:space="4" w:color="auto"/>
          <w:bottom w:val="single" w:sz="4" w:space="1" w:color="auto"/>
          <w:right w:val="single" w:sz="4" w:space="4" w:color="auto"/>
        </w:pBdr>
        <w:rPr>
          <w:rFonts w:ascii="Arial" w:hAnsi="Arial" w:cs="Arial"/>
        </w:rPr>
      </w:pPr>
      <w:r w:rsidRPr="00D15499">
        <w:rPr>
          <w:rFonts w:ascii="Arial" w:hAnsi="Arial" w:cs="Arial"/>
        </w:rPr>
        <w:t>V. Por dictámenes de seguridad para conformidad municipal de renovación o revalidación de permisos generales expedidos por la Secretaria de la Defensa Nacional.</w:t>
      </w:r>
    </w:p>
    <w:p w:rsidR="00D15499" w:rsidRDefault="00D15499" w:rsidP="00D15499">
      <w:pPr>
        <w:rPr>
          <w:rFonts w:ascii="Arial" w:hAnsi="Arial" w:cs="Arial"/>
        </w:rPr>
      </w:pPr>
      <w:r>
        <w:rPr>
          <w:rFonts w:ascii="Arial" w:hAnsi="Arial" w:cs="Arial"/>
        </w:rPr>
        <w:t xml:space="preserve">Se propone un aumento del </w:t>
      </w:r>
      <w:r w:rsidR="002915E9">
        <w:rPr>
          <w:rFonts w:ascii="Arial" w:hAnsi="Arial" w:cs="Arial"/>
        </w:rPr>
        <w:t>7</w:t>
      </w:r>
      <w:r>
        <w:rPr>
          <w:rFonts w:ascii="Arial" w:hAnsi="Arial" w:cs="Arial"/>
        </w:rPr>
        <w:t>%</w:t>
      </w:r>
    </w:p>
    <w:p w:rsidR="00D15499" w:rsidRDefault="00D15499" w:rsidP="00D15499">
      <w:pPr>
        <w:pBdr>
          <w:top w:val="single" w:sz="4" w:space="1" w:color="auto"/>
          <w:left w:val="single" w:sz="4" w:space="4" w:color="auto"/>
          <w:bottom w:val="single" w:sz="4" w:space="1" w:color="auto"/>
          <w:right w:val="single" w:sz="4" w:space="4" w:color="auto"/>
        </w:pBdr>
        <w:rPr>
          <w:rFonts w:ascii="Arial" w:hAnsi="Arial" w:cs="Arial"/>
        </w:rPr>
      </w:pPr>
      <w:r w:rsidRPr="00D15499">
        <w:rPr>
          <w:rFonts w:ascii="Arial" w:hAnsi="Arial" w:cs="Arial"/>
        </w:rPr>
        <w:t>VII. Dictamen de seguridad para programas de protección civil sobre:</w:t>
      </w:r>
    </w:p>
    <w:p w:rsidR="00D15499" w:rsidRDefault="00D15499" w:rsidP="00D15499">
      <w:pPr>
        <w:pBdr>
          <w:top w:val="single" w:sz="4" w:space="1" w:color="auto"/>
          <w:left w:val="single" w:sz="4" w:space="4" w:color="auto"/>
          <w:bottom w:val="single" w:sz="4" w:space="1" w:color="auto"/>
          <w:right w:val="single" w:sz="4" w:space="4" w:color="auto"/>
        </w:pBdr>
        <w:rPr>
          <w:rFonts w:ascii="Arial" w:hAnsi="Arial" w:cs="Arial"/>
        </w:rPr>
      </w:pPr>
      <w:r w:rsidRPr="00D15499">
        <w:rPr>
          <w:rFonts w:ascii="Arial" w:hAnsi="Arial" w:cs="Arial"/>
        </w:rPr>
        <w:t xml:space="preserve">a) Programa interno         </w:t>
      </w:r>
    </w:p>
    <w:p w:rsidR="00D15499" w:rsidRDefault="00D15499" w:rsidP="00D15499">
      <w:pPr>
        <w:pBdr>
          <w:top w:val="single" w:sz="4" w:space="1" w:color="auto"/>
          <w:left w:val="single" w:sz="4" w:space="4" w:color="auto"/>
          <w:bottom w:val="single" w:sz="4" w:space="1" w:color="auto"/>
          <w:right w:val="single" w:sz="4" w:space="4" w:color="auto"/>
        </w:pBdr>
        <w:rPr>
          <w:rFonts w:ascii="Arial" w:hAnsi="Arial" w:cs="Arial"/>
        </w:rPr>
      </w:pPr>
      <w:r w:rsidRPr="00D15499">
        <w:rPr>
          <w:rFonts w:ascii="Arial" w:hAnsi="Arial" w:cs="Arial"/>
        </w:rPr>
        <w:t xml:space="preserve">b) Plan de contingencias             </w:t>
      </w:r>
    </w:p>
    <w:p w:rsidR="00D15499" w:rsidRDefault="00D15499" w:rsidP="00D15499">
      <w:pPr>
        <w:pBdr>
          <w:top w:val="single" w:sz="4" w:space="1" w:color="auto"/>
          <w:left w:val="single" w:sz="4" w:space="4" w:color="auto"/>
          <w:bottom w:val="single" w:sz="4" w:space="1" w:color="auto"/>
          <w:right w:val="single" w:sz="4" w:space="4" w:color="auto"/>
        </w:pBdr>
        <w:rPr>
          <w:rFonts w:ascii="Arial" w:hAnsi="Arial" w:cs="Arial"/>
        </w:rPr>
      </w:pPr>
      <w:r w:rsidRPr="00D15499">
        <w:rPr>
          <w:rFonts w:ascii="Arial" w:hAnsi="Arial" w:cs="Arial"/>
        </w:rPr>
        <w:t xml:space="preserve">c) De prevención de accidentes                   </w:t>
      </w:r>
    </w:p>
    <w:p w:rsidR="00D15499" w:rsidRDefault="00D15499" w:rsidP="00D15499">
      <w:pPr>
        <w:rPr>
          <w:rFonts w:ascii="Arial" w:hAnsi="Arial" w:cs="Arial"/>
        </w:rPr>
      </w:pPr>
      <w:r>
        <w:rPr>
          <w:rFonts w:ascii="Arial" w:hAnsi="Arial" w:cs="Arial"/>
        </w:rPr>
        <w:t>Se propone un aumento del 20% en cada uno de los incisos.</w:t>
      </w:r>
    </w:p>
    <w:p w:rsidR="002915E9" w:rsidRDefault="002915E9" w:rsidP="002915E9">
      <w:pPr>
        <w:pBdr>
          <w:top w:val="single" w:sz="4" w:space="1" w:color="auto"/>
          <w:left w:val="single" w:sz="4" w:space="4" w:color="auto"/>
          <w:bottom w:val="single" w:sz="4" w:space="1" w:color="auto"/>
          <w:right w:val="single" w:sz="4" w:space="4" w:color="auto"/>
        </w:pBdr>
        <w:rPr>
          <w:rFonts w:ascii="Arial" w:hAnsi="Arial" w:cs="Arial"/>
        </w:rPr>
      </w:pPr>
      <w:r w:rsidRPr="002915E9">
        <w:rPr>
          <w:rFonts w:ascii="Arial" w:hAnsi="Arial" w:cs="Arial"/>
        </w:rPr>
        <w:t xml:space="preserve">VIII. Servicios extraordinarios de medidas de seguridad en eventos especiales en evento máximo de 6 horas.       </w:t>
      </w:r>
      <w:r w:rsidRPr="00D15499">
        <w:rPr>
          <w:rFonts w:ascii="Arial" w:hAnsi="Arial" w:cs="Arial"/>
        </w:rPr>
        <w:t xml:space="preserve"> </w:t>
      </w:r>
    </w:p>
    <w:p w:rsidR="002915E9" w:rsidRDefault="002915E9" w:rsidP="002915E9">
      <w:pPr>
        <w:rPr>
          <w:rFonts w:ascii="Arial" w:hAnsi="Arial" w:cs="Arial"/>
        </w:rPr>
      </w:pPr>
      <w:r>
        <w:rPr>
          <w:rFonts w:ascii="Arial" w:hAnsi="Arial" w:cs="Arial"/>
        </w:rPr>
        <w:t>Se propone un aumento del 8%</w:t>
      </w:r>
    </w:p>
    <w:p w:rsidR="004938F3" w:rsidRDefault="004938F3" w:rsidP="004938F3">
      <w:pPr>
        <w:pBdr>
          <w:top w:val="single" w:sz="4" w:space="1" w:color="auto"/>
          <w:left w:val="single" w:sz="4" w:space="4" w:color="auto"/>
          <w:bottom w:val="single" w:sz="4" w:space="1" w:color="auto"/>
          <w:right w:val="single" w:sz="4" w:space="4" w:color="auto"/>
        </w:pBdr>
        <w:rPr>
          <w:rFonts w:ascii="Arial" w:hAnsi="Arial" w:cs="Arial"/>
        </w:rPr>
      </w:pPr>
      <w:r w:rsidRPr="004938F3">
        <w:rPr>
          <w:rFonts w:ascii="Arial" w:hAnsi="Arial" w:cs="Arial"/>
        </w:rPr>
        <w:lastRenderedPageBreak/>
        <w:t>Artículo 24. Los derechos por los servicios de obra pública y desarrollo urbano, se causarán y liquidarán conforme a la siguiente:</w:t>
      </w:r>
    </w:p>
    <w:p w:rsidR="004938F3" w:rsidRDefault="004938F3" w:rsidP="004938F3">
      <w:pPr>
        <w:pBdr>
          <w:top w:val="single" w:sz="4" w:space="1" w:color="auto"/>
          <w:left w:val="single" w:sz="4" w:space="4" w:color="auto"/>
          <w:bottom w:val="single" w:sz="4" w:space="1" w:color="auto"/>
          <w:right w:val="single" w:sz="4" w:space="4" w:color="auto"/>
        </w:pBdr>
        <w:rPr>
          <w:rFonts w:ascii="Arial" w:hAnsi="Arial" w:cs="Arial"/>
        </w:rPr>
      </w:pPr>
      <w:r w:rsidRPr="004938F3">
        <w:rPr>
          <w:rFonts w:ascii="Arial" w:hAnsi="Arial" w:cs="Arial"/>
        </w:rPr>
        <w:t>X. Permiso de división.</w:t>
      </w:r>
    </w:p>
    <w:p w:rsidR="004938F3" w:rsidRDefault="004938F3" w:rsidP="002915E9">
      <w:pPr>
        <w:rPr>
          <w:rFonts w:ascii="Arial" w:hAnsi="Arial" w:cs="Arial"/>
        </w:rPr>
      </w:pPr>
      <w:r>
        <w:rPr>
          <w:rFonts w:ascii="Arial" w:hAnsi="Arial" w:cs="Arial"/>
        </w:rPr>
        <w:t>Se propone un aumento del 100%</w:t>
      </w:r>
    </w:p>
    <w:p w:rsidR="00D8664E" w:rsidRDefault="00D8664E" w:rsidP="00340A7D">
      <w:pPr>
        <w:pBdr>
          <w:top w:val="single" w:sz="4" w:space="1" w:color="auto"/>
          <w:left w:val="single" w:sz="4" w:space="4" w:color="auto"/>
          <w:bottom w:val="single" w:sz="4" w:space="1" w:color="auto"/>
          <w:right w:val="single" w:sz="4" w:space="4" w:color="auto"/>
        </w:pBdr>
        <w:rPr>
          <w:rFonts w:ascii="Arial" w:hAnsi="Arial" w:cs="Arial"/>
        </w:rPr>
      </w:pPr>
      <w:r w:rsidRPr="00D8664E">
        <w:rPr>
          <w:rFonts w:ascii="Arial" w:hAnsi="Arial" w:cs="Arial"/>
        </w:rPr>
        <w:t>Artículo 25. Los derechos por los servicios catastrales y  práctica de avalúos, se causarán y liquidarán conforme a la siguiente:</w:t>
      </w:r>
    </w:p>
    <w:p w:rsidR="00340A7D" w:rsidRDefault="00340A7D" w:rsidP="00340A7D">
      <w:pPr>
        <w:pBdr>
          <w:top w:val="single" w:sz="4" w:space="1" w:color="auto"/>
          <w:left w:val="single" w:sz="4" w:space="4" w:color="auto"/>
          <w:bottom w:val="single" w:sz="4" w:space="1" w:color="auto"/>
          <w:right w:val="single" w:sz="4" w:space="4" w:color="auto"/>
        </w:pBdr>
        <w:rPr>
          <w:rFonts w:ascii="Arial" w:hAnsi="Arial" w:cs="Arial"/>
        </w:rPr>
      </w:pPr>
      <w:r w:rsidRPr="00340A7D">
        <w:rPr>
          <w:rFonts w:ascii="Arial" w:hAnsi="Arial" w:cs="Arial"/>
        </w:rPr>
        <w:t xml:space="preserve">VI. Por la </w:t>
      </w:r>
      <w:r w:rsidR="00D8664E" w:rsidRPr="00340A7D">
        <w:rPr>
          <w:rFonts w:ascii="Arial" w:hAnsi="Arial" w:cs="Arial"/>
        </w:rPr>
        <w:t>revisión</w:t>
      </w:r>
      <w:r w:rsidRPr="00340A7D">
        <w:rPr>
          <w:rFonts w:ascii="Arial" w:hAnsi="Arial" w:cs="Arial"/>
        </w:rPr>
        <w:t xml:space="preserve"> y autorización de avalúos </w:t>
      </w:r>
      <w:r w:rsidR="00D8664E" w:rsidRPr="00340A7D">
        <w:rPr>
          <w:rFonts w:ascii="Arial" w:hAnsi="Arial" w:cs="Arial"/>
        </w:rPr>
        <w:t>practicados</w:t>
      </w:r>
      <w:r w:rsidRPr="00340A7D">
        <w:rPr>
          <w:rFonts w:ascii="Arial" w:hAnsi="Arial" w:cs="Arial"/>
        </w:rPr>
        <w:t xml:space="preserve"> por peritos valuadores autorizados por la tesorería municipal, o por valuadores y unidades de valuación certificados con anterioridad no mayor a un año.    </w:t>
      </w:r>
    </w:p>
    <w:p w:rsidR="00340A7D" w:rsidRDefault="00340A7D" w:rsidP="00340A7D">
      <w:pPr>
        <w:pBdr>
          <w:top w:val="single" w:sz="4" w:space="1" w:color="auto"/>
          <w:left w:val="single" w:sz="4" w:space="4" w:color="auto"/>
          <w:bottom w:val="single" w:sz="4" w:space="1" w:color="auto"/>
          <w:right w:val="single" w:sz="4" w:space="4" w:color="auto"/>
        </w:pBdr>
        <w:rPr>
          <w:rFonts w:ascii="Arial" w:hAnsi="Arial" w:cs="Arial"/>
        </w:rPr>
      </w:pPr>
      <w:r w:rsidRPr="00340A7D">
        <w:rPr>
          <w:rFonts w:ascii="Arial" w:hAnsi="Arial" w:cs="Arial"/>
        </w:rPr>
        <w:t xml:space="preserve">a) Urbanos se cobrará la cuota fija que señala la fracción III de este artículo más 0.24 al millar sobre el valor que arroje el peritaje. </w:t>
      </w:r>
    </w:p>
    <w:p w:rsidR="00340A7D" w:rsidRDefault="00340A7D" w:rsidP="00340A7D">
      <w:pPr>
        <w:pBdr>
          <w:top w:val="single" w:sz="4" w:space="1" w:color="auto"/>
          <w:left w:val="single" w:sz="4" w:space="4" w:color="auto"/>
          <w:bottom w:val="single" w:sz="4" w:space="1" w:color="auto"/>
          <w:right w:val="single" w:sz="4" w:space="4" w:color="auto"/>
        </w:pBdr>
        <w:rPr>
          <w:rFonts w:ascii="Arial" w:hAnsi="Arial" w:cs="Arial"/>
        </w:rPr>
      </w:pPr>
      <w:r w:rsidRPr="00340A7D">
        <w:rPr>
          <w:rFonts w:ascii="Arial" w:hAnsi="Arial" w:cs="Arial"/>
        </w:rPr>
        <w:t xml:space="preserve">b) Rústicos se cobrará la cuota fija que señala la fracción III de este artículo más 0.18 al millar sobre el valor que arroje el peritaje. </w:t>
      </w:r>
      <w:r w:rsidRPr="00D15499">
        <w:rPr>
          <w:rFonts w:ascii="Arial" w:hAnsi="Arial" w:cs="Arial"/>
        </w:rPr>
        <w:t xml:space="preserve"> </w:t>
      </w:r>
    </w:p>
    <w:p w:rsidR="00340A7D" w:rsidRPr="00BC4A5C" w:rsidRDefault="00340A7D" w:rsidP="00340A7D">
      <w:pPr>
        <w:rPr>
          <w:rFonts w:ascii="Arial" w:hAnsi="Arial" w:cs="Arial"/>
        </w:rPr>
      </w:pPr>
      <w:r>
        <w:rPr>
          <w:rFonts w:ascii="Arial" w:hAnsi="Arial" w:cs="Arial"/>
        </w:rPr>
        <w:t xml:space="preserve">Únicamente se propone el cambio de concepto sobre cada uno de los incisos, con la finalidad de obtener una certeza jurídica sobre el </w:t>
      </w:r>
      <w:r w:rsidR="002278D7">
        <w:rPr>
          <w:rFonts w:ascii="Arial" w:hAnsi="Arial" w:cs="Arial"/>
        </w:rPr>
        <w:t>cálculo del impuesto</w:t>
      </w:r>
      <w:r>
        <w:rPr>
          <w:rFonts w:ascii="Arial" w:hAnsi="Arial" w:cs="Arial"/>
        </w:rPr>
        <w:t xml:space="preserve">, sin representar un cambio </w:t>
      </w:r>
    </w:p>
    <w:p w:rsidR="00BC4A5C" w:rsidRDefault="00BC4A5C" w:rsidP="00BC4A5C">
      <w:pPr>
        <w:pBdr>
          <w:top w:val="single" w:sz="4" w:space="1" w:color="auto"/>
          <w:left w:val="single" w:sz="4" w:space="4" w:color="auto"/>
          <w:bottom w:val="single" w:sz="4" w:space="1" w:color="auto"/>
          <w:right w:val="single" w:sz="4" w:space="4" w:color="auto"/>
        </w:pBdr>
        <w:rPr>
          <w:rFonts w:ascii="Arial" w:hAnsi="Arial" w:cs="Arial"/>
        </w:rPr>
      </w:pPr>
      <w:r w:rsidRPr="00BC4A5C">
        <w:rPr>
          <w:rFonts w:ascii="Arial" w:hAnsi="Arial" w:cs="Arial"/>
        </w:rPr>
        <w:t>Artículo 26. Los derechos por servicios municipales  en materia de fraccionamientos, se causarán y liquidarán en atención a la siguiente:</w:t>
      </w:r>
    </w:p>
    <w:p w:rsidR="00BC4A5C" w:rsidRDefault="00BC4A5C" w:rsidP="00BC4A5C">
      <w:pPr>
        <w:pBdr>
          <w:top w:val="single" w:sz="4" w:space="1" w:color="auto"/>
          <w:left w:val="single" w:sz="4" w:space="4" w:color="auto"/>
          <w:bottom w:val="single" w:sz="4" w:space="1" w:color="auto"/>
          <w:right w:val="single" w:sz="4" w:space="4" w:color="auto"/>
        </w:pBdr>
        <w:rPr>
          <w:rFonts w:ascii="Arial" w:hAnsi="Arial" w:cs="Arial"/>
        </w:rPr>
      </w:pPr>
      <w:r w:rsidRPr="00BC4A5C">
        <w:rPr>
          <w:rFonts w:ascii="Arial" w:hAnsi="Arial" w:cs="Arial"/>
        </w:rPr>
        <w:t>V. Por permiso de venta de lotes por M2 de superficie vendible.</w:t>
      </w:r>
    </w:p>
    <w:p w:rsidR="002278D7" w:rsidRDefault="00BC4A5C" w:rsidP="00340A7D">
      <w:pPr>
        <w:rPr>
          <w:rFonts w:ascii="Arial" w:hAnsi="Arial" w:cs="Arial"/>
        </w:rPr>
      </w:pPr>
      <w:r>
        <w:rPr>
          <w:rFonts w:ascii="Arial" w:hAnsi="Arial" w:cs="Arial"/>
        </w:rPr>
        <w:t>Se propone un aumento en la tarifa de $0.17 a $1.80</w:t>
      </w:r>
    </w:p>
    <w:p w:rsidR="005F6D7E" w:rsidRDefault="005F6D7E" w:rsidP="005F6D7E">
      <w:pPr>
        <w:pBdr>
          <w:top w:val="single" w:sz="4" w:space="1" w:color="auto"/>
          <w:left w:val="single" w:sz="4" w:space="4" w:color="auto"/>
          <w:bottom w:val="single" w:sz="4" w:space="1" w:color="auto"/>
          <w:right w:val="single" w:sz="4" w:space="4" w:color="auto"/>
        </w:pBdr>
        <w:rPr>
          <w:rFonts w:ascii="Arial" w:hAnsi="Arial" w:cs="Arial"/>
        </w:rPr>
      </w:pPr>
      <w:r w:rsidRPr="002278D7">
        <w:rPr>
          <w:rFonts w:ascii="Arial" w:hAnsi="Arial" w:cs="Arial"/>
        </w:rPr>
        <w:t>Artículo 27. Los derechos por la expedición de licencias o permisos para el establecimiento de anuncios se causarán y liquidarán conforme a la siguiente:</w:t>
      </w:r>
    </w:p>
    <w:p w:rsidR="005F6D7E" w:rsidRDefault="005F6D7E" w:rsidP="005F6D7E">
      <w:pPr>
        <w:pBdr>
          <w:top w:val="single" w:sz="4" w:space="1" w:color="auto"/>
          <w:left w:val="single" w:sz="4" w:space="4" w:color="auto"/>
          <w:bottom w:val="single" w:sz="4" w:space="1" w:color="auto"/>
          <w:right w:val="single" w:sz="4" w:space="4" w:color="auto"/>
        </w:pBdr>
        <w:rPr>
          <w:rFonts w:ascii="Arial" w:hAnsi="Arial" w:cs="Arial"/>
        </w:rPr>
      </w:pPr>
      <w:r w:rsidRPr="005F6D7E">
        <w:rPr>
          <w:rFonts w:ascii="Arial" w:hAnsi="Arial" w:cs="Arial"/>
        </w:rPr>
        <w:t>I.  Permisos para el establecimiento de anuncios, por metro cuadrado y vigencia de 12 meses, con excepción del inciso g) a considerarse por 30 días.</w:t>
      </w:r>
    </w:p>
    <w:p w:rsidR="005F6D7E" w:rsidRDefault="005F6D7E" w:rsidP="005F6D7E">
      <w:pPr>
        <w:pBdr>
          <w:top w:val="single" w:sz="4" w:space="1" w:color="auto"/>
          <w:left w:val="single" w:sz="4" w:space="4" w:color="auto"/>
          <w:bottom w:val="single" w:sz="4" w:space="1" w:color="auto"/>
          <w:right w:val="single" w:sz="4" w:space="4" w:color="auto"/>
        </w:pBdr>
        <w:rPr>
          <w:rFonts w:ascii="Arial" w:hAnsi="Arial" w:cs="Arial"/>
        </w:rPr>
      </w:pPr>
      <w:r w:rsidRPr="005F6D7E">
        <w:rPr>
          <w:rFonts w:ascii="Arial" w:hAnsi="Arial" w:cs="Arial"/>
        </w:rPr>
        <w:t>k) Pantallas luminosas</w:t>
      </w:r>
    </w:p>
    <w:p w:rsidR="005F6D7E" w:rsidRDefault="005F6D7E" w:rsidP="005F6D7E">
      <w:pPr>
        <w:rPr>
          <w:rFonts w:ascii="Arial" w:hAnsi="Arial" w:cs="Arial"/>
        </w:rPr>
      </w:pPr>
      <w:r>
        <w:rPr>
          <w:rFonts w:ascii="Arial" w:hAnsi="Arial" w:cs="Arial"/>
        </w:rPr>
        <w:t>Se propone añadir un nuevo concepto de cobro.</w:t>
      </w:r>
    </w:p>
    <w:p w:rsidR="00075E5F" w:rsidRDefault="00075E5F" w:rsidP="00075E5F">
      <w:pPr>
        <w:pBdr>
          <w:top w:val="single" w:sz="4" w:space="1" w:color="auto"/>
          <w:left w:val="single" w:sz="4" w:space="4" w:color="auto"/>
          <w:bottom w:val="single" w:sz="4" w:space="1" w:color="auto"/>
          <w:right w:val="single" w:sz="4" w:space="4" w:color="auto"/>
        </w:pBdr>
        <w:rPr>
          <w:rFonts w:ascii="Arial" w:hAnsi="Arial" w:cs="Arial"/>
        </w:rPr>
      </w:pPr>
      <w:r w:rsidRPr="002278D7">
        <w:rPr>
          <w:rFonts w:ascii="Arial" w:hAnsi="Arial" w:cs="Arial"/>
        </w:rPr>
        <w:t>Artículo 27. Los derechos por la expedición de licencias o permisos para el establecimiento de anuncios se causarán y liquidarán conforme a la siguiente:</w:t>
      </w:r>
    </w:p>
    <w:p w:rsidR="00075E5F" w:rsidRDefault="00075E5F" w:rsidP="00075E5F">
      <w:pPr>
        <w:pBdr>
          <w:top w:val="single" w:sz="4" w:space="1" w:color="auto"/>
          <w:left w:val="single" w:sz="4" w:space="4" w:color="auto"/>
          <w:bottom w:val="single" w:sz="4" w:space="1" w:color="auto"/>
          <w:right w:val="single" w:sz="4" w:space="4" w:color="auto"/>
        </w:pBdr>
        <w:rPr>
          <w:rFonts w:ascii="Arial" w:hAnsi="Arial" w:cs="Arial"/>
        </w:rPr>
      </w:pPr>
      <w:r w:rsidRPr="002278D7">
        <w:rPr>
          <w:rFonts w:ascii="Arial" w:hAnsi="Arial" w:cs="Arial"/>
        </w:rPr>
        <w:t>III. Por anuncio móvil o temporal, por pieza y con vigencia máxima de 15 días:</w:t>
      </w:r>
    </w:p>
    <w:p w:rsidR="002278D7" w:rsidRDefault="002278D7" w:rsidP="002278D7">
      <w:pPr>
        <w:pBdr>
          <w:top w:val="single" w:sz="4" w:space="1" w:color="auto"/>
          <w:left w:val="single" w:sz="4" w:space="4" w:color="auto"/>
          <w:bottom w:val="single" w:sz="4" w:space="1" w:color="auto"/>
          <w:right w:val="single" w:sz="4" w:space="4" w:color="auto"/>
        </w:pBdr>
        <w:rPr>
          <w:rFonts w:ascii="Arial" w:hAnsi="Arial" w:cs="Arial"/>
        </w:rPr>
      </w:pPr>
      <w:r w:rsidRPr="002278D7">
        <w:rPr>
          <w:rFonts w:ascii="Arial" w:hAnsi="Arial" w:cs="Arial"/>
        </w:rPr>
        <w:t>f) Pendones por pieza.</w:t>
      </w:r>
    </w:p>
    <w:p w:rsidR="005F6D7E" w:rsidRDefault="005F6D7E" w:rsidP="002278D7">
      <w:pPr>
        <w:pBdr>
          <w:top w:val="single" w:sz="4" w:space="1" w:color="auto"/>
          <w:left w:val="single" w:sz="4" w:space="4" w:color="auto"/>
          <w:bottom w:val="single" w:sz="4" w:space="1" w:color="auto"/>
          <w:right w:val="single" w:sz="4" w:space="4" w:color="auto"/>
        </w:pBdr>
        <w:rPr>
          <w:rFonts w:ascii="Arial" w:hAnsi="Arial" w:cs="Arial"/>
        </w:rPr>
      </w:pPr>
      <w:r w:rsidRPr="005F6D7E">
        <w:rPr>
          <w:rFonts w:ascii="Arial" w:hAnsi="Arial" w:cs="Arial"/>
        </w:rPr>
        <w:lastRenderedPageBreak/>
        <w:t>Se realizara el cobro de depósito en garantía para asegurar el ret</w:t>
      </w:r>
      <w:r>
        <w:rPr>
          <w:rFonts w:ascii="Arial" w:hAnsi="Arial" w:cs="Arial"/>
        </w:rPr>
        <w:t>iro voluntario de los anuncios</w:t>
      </w:r>
      <w:r w:rsidRPr="005F6D7E">
        <w:rPr>
          <w:rFonts w:ascii="Arial" w:hAnsi="Arial" w:cs="Arial"/>
        </w:rPr>
        <w:t xml:space="preserve"> móviles, carteleras y pendones de la vía pública por parte de los anunciantes, equivalente a la cantidad resultante de 15 UMAS.</w:t>
      </w:r>
    </w:p>
    <w:p w:rsidR="002278D7" w:rsidRDefault="002278D7" w:rsidP="002278D7">
      <w:pPr>
        <w:rPr>
          <w:rFonts w:ascii="Arial" w:hAnsi="Arial" w:cs="Arial"/>
        </w:rPr>
      </w:pPr>
      <w:r>
        <w:rPr>
          <w:rFonts w:ascii="Arial" w:hAnsi="Arial" w:cs="Arial"/>
        </w:rPr>
        <w:t>Se propone añ</w:t>
      </w:r>
      <w:r w:rsidR="005F6D7E">
        <w:rPr>
          <w:rFonts w:ascii="Arial" w:hAnsi="Arial" w:cs="Arial"/>
        </w:rPr>
        <w:t>adir un nuevo concepto de cobro, adicionando la garantía para el retiro de dichos anuncios.</w:t>
      </w:r>
    </w:p>
    <w:p w:rsidR="00A72284" w:rsidRDefault="00A72284" w:rsidP="00A72284">
      <w:pPr>
        <w:pBdr>
          <w:top w:val="single" w:sz="4" w:space="1" w:color="auto"/>
          <w:left w:val="single" w:sz="4" w:space="4" w:color="auto"/>
          <w:bottom w:val="single" w:sz="4" w:space="1" w:color="auto"/>
          <w:right w:val="single" w:sz="4" w:space="4" w:color="auto"/>
        </w:pBdr>
        <w:rPr>
          <w:rFonts w:ascii="Arial" w:hAnsi="Arial" w:cs="Arial"/>
        </w:rPr>
      </w:pPr>
      <w:r w:rsidRPr="00A72284">
        <w:rPr>
          <w:rFonts w:ascii="Arial" w:hAnsi="Arial" w:cs="Arial"/>
        </w:rPr>
        <w:t>Artículo 28. Los derechos por la expedición de permisos eventuales para la venta de bebidas alcohólicas, se causarán y liquidarán de conformidad  a la siguiente:</w:t>
      </w:r>
    </w:p>
    <w:p w:rsidR="00A72284" w:rsidRDefault="00A72284" w:rsidP="00A72284">
      <w:pPr>
        <w:pBdr>
          <w:top w:val="single" w:sz="4" w:space="1" w:color="auto"/>
          <w:left w:val="single" w:sz="4" w:space="4" w:color="auto"/>
          <w:bottom w:val="single" w:sz="4" w:space="1" w:color="auto"/>
          <w:right w:val="single" w:sz="4" w:space="4" w:color="auto"/>
        </w:pBdr>
        <w:rPr>
          <w:rFonts w:ascii="Arial" w:hAnsi="Arial" w:cs="Arial"/>
        </w:rPr>
      </w:pPr>
      <w:r w:rsidRPr="00A72284">
        <w:rPr>
          <w:rFonts w:ascii="Arial" w:hAnsi="Arial" w:cs="Arial"/>
        </w:rPr>
        <w:t>II.  Permiso de ampliación de horario para el expendio de bebidas alcohólicas por hora mes</w:t>
      </w:r>
    </w:p>
    <w:p w:rsidR="002278D7" w:rsidRDefault="00A72284" w:rsidP="00A72284">
      <w:pPr>
        <w:rPr>
          <w:rFonts w:ascii="Arial" w:hAnsi="Arial" w:cs="Arial"/>
        </w:rPr>
      </w:pPr>
      <w:r>
        <w:rPr>
          <w:rFonts w:ascii="Arial" w:hAnsi="Arial" w:cs="Arial"/>
        </w:rPr>
        <w:t xml:space="preserve">Se propone un incremento del </w:t>
      </w:r>
      <w:r w:rsidR="001C293C">
        <w:rPr>
          <w:rFonts w:ascii="Arial" w:hAnsi="Arial" w:cs="Arial"/>
        </w:rPr>
        <w:t>298.16</w:t>
      </w:r>
      <w:r>
        <w:rPr>
          <w:rFonts w:ascii="Arial" w:hAnsi="Arial" w:cs="Arial"/>
        </w:rPr>
        <w:t>%</w:t>
      </w:r>
    </w:p>
    <w:p w:rsidR="00A72284" w:rsidRDefault="00A53598" w:rsidP="00A53598">
      <w:pPr>
        <w:pBdr>
          <w:top w:val="single" w:sz="4" w:space="1" w:color="auto"/>
          <w:left w:val="single" w:sz="4" w:space="4" w:color="auto"/>
          <w:bottom w:val="single" w:sz="4" w:space="1" w:color="auto"/>
          <w:right w:val="single" w:sz="4" w:space="4" w:color="auto"/>
        </w:pBdr>
        <w:rPr>
          <w:rFonts w:ascii="Arial" w:hAnsi="Arial" w:cs="Arial"/>
        </w:rPr>
      </w:pPr>
      <w:r w:rsidRPr="00A53598">
        <w:rPr>
          <w:rFonts w:ascii="Arial" w:hAnsi="Arial" w:cs="Arial"/>
        </w:rPr>
        <w:t>Artículo 30. Los derechos por servicios en materia ambiental se causarán y liquidarán de conformidad con la siguiente:</w:t>
      </w:r>
    </w:p>
    <w:p w:rsidR="00A53598" w:rsidRDefault="00A53598" w:rsidP="00A53598">
      <w:pPr>
        <w:pBdr>
          <w:top w:val="single" w:sz="4" w:space="1" w:color="auto"/>
          <w:left w:val="single" w:sz="4" w:space="4" w:color="auto"/>
          <w:bottom w:val="single" w:sz="4" w:space="1" w:color="auto"/>
          <w:right w:val="single" w:sz="4" w:space="4" w:color="auto"/>
        </w:pBdr>
        <w:rPr>
          <w:rFonts w:ascii="Arial" w:hAnsi="Arial" w:cs="Arial"/>
        </w:rPr>
      </w:pPr>
      <w:r w:rsidRPr="00A53598">
        <w:rPr>
          <w:rFonts w:ascii="Arial" w:hAnsi="Arial" w:cs="Arial"/>
        </w:rPr>
        <w:t xml:space="preserve">V. Dictamen técnico ecológico     </w:t>
      </w:r>
    </w:p>
    <w:p w:rsidR="00A72284" w:rsidRDefault="00A72284" w:rsidP="00A72284">
      <w:pPr>
        <w:rPr>
          <w:rFonts w:ascii="Arial" w:hAnsi="Arial" w:cs="Arial"/>
        </w:rPr>
      </w:pPr>
      <w:r>
        <w:rPr>
          <w:rFonts w:ascii="Arial" w:hAnsi="Arial" w:cs="Arial"/>
        </w:rPr>
        <w:t xml:space="preserve">Se propone </w:t>
      </w:r>
      <w:r w:rsidR="00A23ED2">
        <w:rPr>
          <w:rFonts w:ascii="Arial" w:hAnsi="Arial" w:cs="Arial"/>
        </w:rPr>
        <w:t>un incremento del 39.15%</w:t>
      </w:r>
    </w:p>
    <w:p w:rsidR="00262C17" w:rsidRDefault="00262C17" w:rsidP="00262C17">
      <w:pPr>
        <w:pBdr>
          <w:top w:val="single" w:sz="4" w:space="1" w:color="auto"/>
          <w:left w:val="single" w:sz="4" w:space="4" w:color="auto"/>
          <w:bottom w:val="single" w:sz="4" w:space="1" w:color="auto"/>
          <w:right w:val="single" w:sz="4" w:space="4" w:color="auto"/>
        </w:pBdr>
        <w:rPr>
          <w:rFonts w:ascii="Arial" w:hAnsi="Arial" w:cs="Arial"/>
        </w:rPr>
      </w:pPr>
      <w:r w:rsidRPr="00262C17">
        <w:rPr>
          <w:rFonts w:ascii="Arial" w:hAnsi="Arial" w:cs="Arial"/>
        </w:rPr>
        <w:t>Artículo 31. Los derechos por la expedición de certificados, certificaciones y constancias se causarán y liquidarán de conformidad con la siguiente:</w:t>
      </w:r>
    </w:p>
    <w:p w:rsidR="00262C17" w:rsidRDefault="00262C17" w:rsidP="00262C17">
      <w:pPr>
        <w:pBdr>
          <w:top w:val="single" w:sz="4" w:space="1" w:color="auto"/>
          <w:left w:val="single" w:sz="4" w:space="4" w:color="auto"/>
          <w:bottom w:val="single" w:sz="4" w:space="1" w:color="auto"/>
          <w:right w:val="single" w:sz="4" w:space="4" w:color="auto"/>
        </w:pBdr>
        <w:rPr>
          <w:rFonts w:ascii="Arial" w:hAnsi="Arial" w:cs="Arial"/>
        </w:rPr>
      </w:pPr>
      <w:r w:rsidRPr="00262C17">
        <w:rPr>
          <w:rFonts w:ascii="Arial" w:hAnsi="Arial" w:cs="Arial"/>
        </w:rPr>
        <w:t>VII. Constancias de modificación de datos en las cuentas catastrales</w:t>
      </w:r>
    </w:p>
    <w:p w:rsidR="00262C17" w:rsidRDefault="00262C17" w:rsidP="00262C17">
      <w:pPr>
        <w:rPr>
          <w:rFonts w:ascii="Arial" w:hAnsi="Arial" w:cs="Arial"/>
        </w:rPr>
      </w:pPr>
      <w:r>
        <w:rPr>
          <w:rFonts w:ascii="Arial" w:hAnsi="Arial" w:cs="Arial"/>
        </w:rPr>
        <w:t>Se propone una nueva tarifa de cobro</w:t>
      </w:r>
    </w:p>
    <w:p w:rsidR="00262C17" w:rsidRDefault="00262C17" w:rsidP="00262C17">
      <w:pPr>
        <w:pBdr>
          <w:top w:val="single" w:sz="4" w:space="1" w:color="auto"/>
          <w:left w:val="single" w:sz="4" w:space="4" w:color="auto"/>
          <w:bottom w:val="single" w:sz="4" w:space="1" w:color="auto"/>
          <w:right w:val="single" w:sz="4" w:space="4" w:color="auto"/>
        </w:pBdr>
        <w:rPr>
          <w:rFonts w:ascii="Arial" w:hAnsi="Arial" w:cs="Arial"/>
        </w:rPr>
      </w:pPr>
      <w:r w:rsidRPr="00262C17">
        <w:rPr>
          <w:rFonts w:ascii="Arial" w:hAnsi="Arial" w:cs="Arial"/>
        </w:rPr>
        <w:t>VIII. Derechos de baja de cuenta predial</w:t>
      </w:r>
    </w:p>
    <w:p w:rsidR="00262C17" w:rsidRDefault="00262C17" w:rsidP="00262C17">
      <w:pPr>
        <w:rPr>
          <w:rFonts w:ascii="Arial" w:hAnsi="Arial" w:cs="Arial"/>
        </w:rPr>
      </w:pPr>
      <w:r>
        <w:rPr>
          <w:rFonts w:ascii="Arial" w:hAnsi="Arial" w:cs="Arial"/>
        </w:rPr>
        <w:t>Se propone una nueva tarifa de cobro</w:t>
      </w:r>
    </w:p>
    <w:p w:rsidR="00262C17" w:rsidRDefault="00262C17" w:rsidP="00262C17">
      <w:pPr>
        <w:pBdr>
          <w:top w:val="single" w:sz="4" w:space="1" w:color="auto"/>
          <w:left w:val="single" w:sz="4" w:space="4" w:color="auto"/>
          <w:bottom w:val="single" w:sz="4" w:space="1" w:color="auto"/>
          <w:right w:val="single" w:sz="4" w:space="4" w:color="auto"/>
        </w:pBdr>
        <w:rPr>
          <w:rFonts w:ascii="Arial" w:hAnsi="Arial" w:cs="Arial"/>
        </w:rPr>
      </w:pPr>
      <w:r w:rsidRPr="00262C17">
        <w:rPr>
          <w:rFonts w:ascii="Arial" w:hAnsi="Arial" w:cs="Arial"/>
        </w:rPr>
        <w:t>IX. Certificados de historia registral catastral, cuota fija.</w:t>
      </w:r>
    </w:p>
    <w:p w:rsidR="00262C17" w:rsidRDefault="00262C17" w:rsidP="00262C17">
      <w:pPr>
        <w:pBdr>
          <w:top w:val="single" w:sz="4" w:space="1" w:color="auto"/>
          <w:left w:val="single" w:sz="4" w:space="4" w:color="auto"/>
          <w:bottom w:val="single" w:sz="4" w:space="1" w:color="auto"/>
          <w:right w:val="single" w:sz="4" w:space="4" w:color="auto"/>
        </w:pBdr>
        <w:rPr>
          <w:rFonts w:ascii="Arial" w:hAnsi="Arial" w:cs="Arial"/>
        </w:rPr>
      </w:pPr>
      <w:r w:rsidRPr="00262C17">
        <w:rPr>
          <w:rFonts w:ascii="Arial" w:hAnsi="Arial" w:cs="Arial"/>
        </w:rPr>
        <w:t>a) Por cada registro de 1 a 5 movimientos.</w:t>
      </w:r>
    </w:p>
    <w:p w:rsidR="00262C17" w:rsidRDefault="00262C17" w:rsidP="00262C17">
      <w:pPr>
        <w:pBdr>
          <w:top w:val="single" w:sz="4" w:space="1" w:color="auto"/>
          <w:left w:val="single" w:sz="4" w:space="4" w:color="auto"/>
          <w:bottom w:val="single" w:sz="4" w:space="1" w:color="auto"/>
          <w:right w:val="single" w:sz="4" w:space="4" w:color="auto"/>
        </w:pBdr>
        <w:rPr>
          <w:rFonts w:ascii="Arial" w:hAnsi="Arial" w:cs="Arial"/>
        </w:rPr>
      </w:pPr>
      <w:r w:rsidRPr="00262C17">
        <w:rPr>
          <w:rFonts w:ascii="Arial" w:hAnsi="Arial" w:cs="Arial"/>
        </w:rPr>
        <w:t>b) Por cada registro de 6 a 10 movimientos</w:t>
      </w:r>
    </w:p>
    <w:p w:rsidR="00F74A01" w:rsidRDefault="00F74A01" w:rsidP="00F74A01">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c</w:t>
      </w:r>
      <w:r w:rsidRPr="00262C17">
        <w:rPr>
          <w:rFonts w:ascii="Arial" w:hAnsi="Arial" w:cs="Arial"/>
        </w:rPr>
        <w:t>) Por cada registro de 1</w:t>
      </w:r>
      <w:r>
        <w:rPr>
          <w:rFonts w:ascii="Arial" w:hAnsi="Arial" w:cs="Arial"/>
        </w:rPr>
        <w:t>1</w:t>
      </w:r>
      <w:r w:rsidRPr="00262C17">
        <w:rPr>
          <w:rFonts w:ascii="Arial" w:hAnsi="Arial" w:cs="Arial"/>
        </w:rPr>
        <w:t xml:space="preserve"> a </w:t>
      </w:r>
      <w:r>
        <w:rPr>
          <w:rFonts w:ascii="Arial" w:hAnsi="Arial" w:cs="Arial"/>
        </w:rPr>
        <w:t>15</w:t>
      </w:r>
      <w:r w:rsidRPr="00262C17">
        <w:rPr>
          <w:rFonts w:ascii="Arial" w:hAnsi="Arial" w:cs="Arial"/>
        </w:rPr>
        <w:t xml:space="preserve"> movimientos</w:t>
      </w:r>
    </w:p>
    <w:p w:rsidR="00262C17" w:rsidRDefault="00F74A01" w:rsidP="00262C17">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d</w:t>
      </w:r>
      <w:r w:rsidR="00262C17" w:rsidRPr="00262C17">
        <w:rPr>
          <w:rFonts w:ascii="Arial" w:hAnsi="Arial" w:cs="Arial"/>
        </w:rPr>
        <w:t>) Por cada registro de 16 a 20 movimientos</w:t>
      </w:r>
    </w:p>
    <w:p w:rsidR="00262C17" w:rsidRDefault="00F74A01" w:rsidP="00262C17">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e</w:t>
      </w:r>
      <w:r w:rsidR="00262C17" w:rsidRPr="00262C17">
        <w:rPr>
          <w:rFonts w:ascii="Arial" w:hAnsi="Arial" w:cs="Arial"/>
        </w:rPr>
        <w:t>) Por cada registro de 21 movimientos en adelante</w:t>
      </w:r>
    </w:p>
    <w:p w:rsidR="00262C17" w:rsidRDefault="00262C17" w:rsidP="00262C17">
      <w:pPr>
        <w:rPr>
          <w:rFonts w:ascii="Arial" w:hAnsi="Arial" w:cs="Arial"/>
        </w:rPr>
      </w:pPr>
      <w:r>
        <w:rPr>
          <w:rFonts w:ascii="Arial" w:hAnsi="Arial" w:cs="Arial"/>
        </w:rPr>
        <w:t>Se propone una nueva tarifa de cobro como cuota fija, más un excedente por número de movimientos.</w:t>
      </w:r>
    </w:p>
    <w:p w:rsidR="00262C17" w:rsidRDefault="00262C17" w:rsidP="00262C17">
      <w:pPr>
        <w:pBdr>
          <w:top w:val="single" w:sz="4" w:space="1" w:color="auto"/>
          <w:left w:val="single" w:sz="4" w:space="4" w:color="auto"/>
          <w:bottom w:val="single" w:sz="4" w:space="1" w:color="auto"/>
          <w:right w:val="single" w:sz="4" w:space="4" w:color="auto"/>
        </w:pBdr>
        <w:rPr>
          <w:rFonts w:ascii="Arial" w:hAnsi="Arial" w:cs="Arial"/>
        </w:rPr>
      </w:pPr>
      <w:r w:rsidRPr="00262C17">
        <w:rPr>
          <w:rFonts w:ascii="Arial" w:hAnsi="Arial" w:cs="Arial"/>
        </w:rPr>
        <w:lastRenderedPageBreak/>
        <w:t>Artículo 33. Por la prestación de los servicios de asistencia y salud pública se causarán y liquidarán los derechos de conformidad a la siguiente:</w:t>
      </w:r>
    </w:p>
    <w:p w:rsidR="00262C17" w:rsidRDefault="00262C17" w:rsidP="00262C17">
      <w:pPr>
        <w:pBdr>
          <w:top w:val="single" w:sz="4" w:space="1" w:color="auto"/>
          <w:left w:val="single" w:sz="4" w:space="4" w:color="auto"/>
          <w:bottom w:val="single" w:sz="4" w:space="1" w:color="auto"/>
          <w:right w:val="single" w:sz="4" w:space="4" w:color="auto"/>
        </w:pBdr>
        <w:rPr>
          <w:rFonts w:ascii="Arial" w:hAnsi="Arial" w:cs="Arial"/>
        </w:rPr>
      </w:pPr>
      <w:r w:rsidRPr="00262C17">
        <w:rPr>
          <w:rFonts w:ascii="Arial" w:hAnsi="Arial" w:cs="Arial"/>
        </w:rPr>
        <w:t>I. Por la estancia infantil del DIF municipal y centros asistenciales de desarrollo infantil "El Encino" y " Las Rinconadas":</w:t>
      </w:r>
    </w:p>
    <w:p w:rsidR="00262C17" w:rsidRDefault="00262C17" w:rsidP="00262C17">
      <w:pPr>
        <w:pBdr>
          <w:top w:val="single" w:sz="4" w:space="1" w:color="auto"/>
          <w:left w:val="single" w:sz="4" w:space="4" w:color="auto"/>
          <w:bottom w:val="single" w:sz="4" w:space="1" w:color="auto"/>
          <w:right w:val="single" w:sz="4" w:space="4" w:color="auto"/>
        </w:pBdr>
        <w:rPr>
          <w:rFonts w:ascii="Arial" w:hAnsi="Arial" w:cs="Arial"/>
        </w:rPr>
      </w:pPr>
      <w:r w:rsidRPr="00262C17">
        <w:rPr>
          <w:rFonts w:ascii="Arial" w:hAnsi="Arial" w:cs="Arial"/>
        </w:rPr>
        <w:t>a) Cuota mensual</w:t>
      </w:r>
    </w:p>
    <w:p w:rsidR="00262C17" w:rsidRDefault="00262C17" w:rsidP="00262C17">
      <w:pPr>
        <w:rPr>
          <w:rFonts w:ascii="Arial" w:hAnsi="Arial" w:cs="Arial"/>
        </w:rPr>
      </w:pPr>
      <w:r>
        <w:rPr>
          <w:rFonts w:ascii="Arial" w:hAnsi="Arial" w:cs="Arial"/>
        </w:rPr>
        <w:t>Se propone un nuevo método de cobro, conforme a una tabulación por rango de ingreso</w:t>
      </w:r>
    </w:p>
    <w:p w:rsidR="00D146A7" w:rsidRDefault="00D146A7" w:rsidP="00D146A7">
      <w:pPr>
        <w:pBdr>
          <w:top w:val="single" w:sz="4" w:space="1" w:color="auto"/>
          <w:left w:val="single" w:sz="4" w:space="4" w:color="auto"/>
          <w:bottom w:val="single" w:sz="4" w:space="1" w:color="auto"/>
          <w:right w:val="single" w:sz="4" w:space="4" w:color="auto"/>
        </w:pBdr>
        <w:rPr>
          <w:rFonts w:ascii="Arial" w:hAnsi="Arial" w:cs="Arial"/>
        </w:rPr>
      </w:pPr>
      <w:r w:rsidRPr="00D146A7">
        <w:rPr>
          <w:rFonts w:ascii="Arial" w:hAnsi="Arial" w:cs="Arial"/>
        </w:rPr>
        <w:t>Artículo 39. Cuando no se pague un crédito fiscal en la fecha o dentro del plazo señalado en las disposiciones respectivas, se cobrarán recargos a la tasa del 3% mensual.</w:t>
      </w:r>
    </w:p>
    <w:p w:rsidR="00D146A7" w:rsidRDefault="00D146A7" w:rsidP="00D146A7">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w:t>
      </w:r>
      <w:r w:rsidRPr="00D146A7">
        <w:rPr>
          <w:rFonts w:ascii="Arial" w:hAnsi="Arial" w:cs="Arial"/>
        </w:rPr>
        <w:t>Cuando se conceda prórroga o autorización para pagar en parcialidades los créditos fiscales, se causarán recargos sobre el saldo insoluto a la tasa del 1.82% mensual.</w:t>
      </w:r>
    </w:p>
    <w:p w:rsidR="00D146A7" w:rsidRDefault="00D146A7" w:rsidP="00D146A7">
      <w:pPr>
        <w:rPr>
          <w:rFonts w:ascii="Arial" w:hAnsi="Arial" w:cs="Arial"/>
        </w:rPr>
      </w:pPr>
      <w:r>
        <w:rPr>
          <w:rFonts w:ascii="Arial" w:hAnsi="Arial" w:cs="Arial"/>
        </w:rPr>
        <w:t>Se propone incrementar el porcentaje de tasa en 0.82%</w:t>
      </w:r>
    </w:p>
    <w:p w:rsidR="00A0107D" w:rsidRDefault="00F91B78" w:rsidP="00A0107D">
      <w:pPr>
        <w:pBdr>
          <w:top w:val="single" w:sz="4" w:space="1" w:color="auto"/>
          <w:left w:val="single" w:sz="4" w:space="4" w:color="auto"/>
          <w:bottom w:val="single" w:sz="4" w:space="1" w:color="auto"/>
          <w:right w:val="single" w:sz="4" w:space="4" w:color="auto"/>
        </w:pBdr>
        <w:rPr>
          <w:rFonts w:ascii="Arial" w:hAnsi="Arial" w:cs="Arial"/>
        </w:rPr>
      </w:pPr>
      <w:r w:rsidRPr="00F91B78">
        <w:rPr>
          <w:rFonts w:ascii="Arial" w:hAnsi="Arial" w:cs="Arial"/>
        </w:rPr>
        <w:t>Artículo 44. La cuota mínima anual del impuesto predial que se pagará dentro del primer bimestre del año será de 5 UMAS conforme lo que señala el artículo 164 segundo párrafo de la Ley de Hacienda para los Municipios del Estado de Guanajuato y sus incisos a), b), c) y e).</w:t>
      </w:r>
    </w:p>
    <w:p w:rsidR="00A0107D" w:rsidRDefault="00A0107D" w:rsidP="00A0107D">
      <w:pPr>
        <w:rPr>
          <w:rFonts w:ascii="Arial" w:hAnsi="Arial" w:cs="Arial"/>
        </w:rPr>
      </w:pPr>
      <w:r>
        <w:rPr>
          <w:rFonts w:ascii="Arial" w:hAnsi="Arial" w:cs="Arial"/>
        </w:rPr>
        <w:t>Se propone</w:t>
      </w:r>
      <w:r w:rsidR="00F91B78">
        <w:rPr>
          <w:rFonts w:ascii="Arial" w:hAnsi="Arial" w:cs="Arial"/>
        </w:rPr>
        <w:t xml:space="preserve"> que el beneficio sea en UMAS:</w:t>
      </w:r>
    </w:p>
    <w:p w:rsidR="00F91B78" w:rsidRDefault="00F91B78" w:rsidP="00F91B78">
      <w:pPr>
        <w:pBdr>
          <w:top w:val="single" w:sz="4" w:space="1" w:color="auto"/>
          <w:left w:val="single" w:sz="4" w:space="4" w:color="auto"/>
          <w:bottom w:val="single" w:sz="4" w:space="1" w:color="auto"/>
          <w:right w:val="single" w:sz="4" w:space="4" w:color="auto"/>
        </w:pBdr>
        <w:rPr>
          <w:rFonts w:ascii="Arial" w:hAnsi="Arial" w:cs="Arial"/>
        </w:rPr>
      </w:pPr>
      <w:r w:rsidRPr="00F91B78">
        <w:rPr>
          <w:rFonts w:ascii="Arial" w:hAnsi="Arial" w:cs="Arial"/>
        </w:rPr>
        <w:t>La cuota mínima anual del impuesto predial que se pagará dentro del primer bimestre del año será de 4 UMAS conforme lo que señala el artículo 164 inciso d) de la Ley de Hacienda para los Municipios del Estado de Guanajuato.</w:t>
      </w:r>
    </w:p>
    <w:p w:rsidR="00F91B78" w:rsidRDefault="00F91B78" w:rsidP="00F91B78">
      <w:pPr>
        <w:rPr>
          <w:rFonts w:ascii="Arial" w:hAnsi="Arial" w:cs="Arial"/>
        </w:rPr>
      </w:pPr>
      <w:r>
        <w:rPr>
          <w:rFonts w:ascii="Arial" w:hAnsi="Arial" w:cs="Arial"/>
        </w:rPr>
        <w:t>Se propone que el beneficio sea en UMAS.</w:t>
      </w:r>
    </w:p>
    <w:p w:rsidR="00F91B78" w:rsidRDefault="00F91B78" w:rsidP="00F91B78">
      <w:pPr>
        <w:pBdr>
          <w:top w:val="single" w:sz="4" w:space="1" w:color="auto"/>
          <w:left w:val="single" w:sz="4" w:space="4" w:color="auto"/>
          <w:bottom w:val="single" w:sz="4" w:space="1" w:color="auto"/>
          <w:right w:val="single" w:sz="4" w:space="4" w:color="auto"/>
        </w:pBdr>
        <w:rPr>
          <w:rFonts w:ascii="Arial" w:hAnsi="Arial" w:cs="Arial"/>
        </w:rPr>
      </w:pPr>
      <w:r w:rsidRPr="00F91B78">
        <w:rPr>
          <w:rFonts w:ascii="Arial" w:hAnsi="Arial" w:cs="Arial"/>
        </w:rPr>
        <w:t>Artículo 45. Los contribuyentes del impuesto predial que cubran anticipadamente el impuesto por la anualidad de este impuesto,  excepto los que tributen bajo cuota mínima, tendrán un descuento del: 20% si lo hacen en el mes de enero.</w:t>
      </w:r>
    </w:p>
    <w:p w:rsidR="00F91B78" w:rsidRDefault="00F91B78" w:rsidP="00F91B78">
      <w:pPr>
        <w:rPr>
          <w:rFonts w:ascii="Arial" w:hAnsi="Arial" w:cs="Arial"/>
        </w:rPr>
      </w:pPr>
      <w:r>
        <w:rPr>
          <w:rFonts w:ascii="Arial" w:hAnsi="Arial" w:cs="Arial"/>
        </w:rPr>
        <w:t>Se propone un descuento del 20% en el mes de enero, en lugar del 15% en enero y 10% en febrero.</w:t>
      </w:r>
    </w:p>
    <w:p w:rsidR="00D777C5" w:rsidRDefault="00D777C5" w:rsidP="00D777C5">
      <w:pPr>
        <w:pBdr>
          <w:top w:val="single" w:sz="4" w:space="1" w:color="auto"/>
          <w:left w:val="single" w:sz="4" w:space="4" w:color="auto"/>
          <w:bottom w:val="single" w:sz="4" w:space="1" w:color="auto"/>
          <w:right w:val="single" w:sz="4" w:space="4" w:color="auto"/>
        </w:pBdr>
        <w:rPr>
          <w:rFonts w:ascii="Arial" w:hAnsi="Arial" w:cs="Arial"/>
        </w:rPr>
      </w:pPr>
      <w:r w:rsidRPr="00D777C5">
        <w:rPr>
          <w:rFonts w:ascii="Arial" w:hAnsi="Arial" w:cs="Arial"/>
        </w:rPr>
        <w:t>Artículo 47. Los pagos referentes a la fracción III del artículo 19 de ésta Ley, que no hayan sido realizados por los concesionarios en los años anteriores, se cobrarán con la tarifa establecida para este año, descontando 20% de dicho monto en cada uno de los años adeudados.</w:t>
      </w:r>
    </w:p>
    <w:p w:rsidR="00F91B78" w:rsidRDefault="00D777C5" w:rsidP="00A0107D">
      <w:pPr>
        <w:rPr>
          <w:rFonts w:ascii="Arial" w:hAnsi="Arial" w:cs="Arial"/>
        </w:rPr>
      </w:pPr>
      <w:r>
        <w:rPr>
          <w:rFonts w:ascii="Arial" w:hAnsi="Arial" w:cs="Arial"/>
        </w:rPr>
        <w:t>Se propone la eliminación de la referida facilidad administrativa, para incentivar la puntualidad de cada pago.</w:t>
      </w:r>
    </w:p>
    <w:p w:rsidR="007C272F" w:rsidRDefault="007C272F" w:rsidP="007C272F">
      <w:pPr>
        <w:pBdr>
          <w:top w:val="single" w:sz="4" w:space="1" w:color="auto"/>
          <w:left w:val="single" w:sz="4" w:space="4" w:color="auto"/>
          <w:bottom w:val="single" w:sz="4" w:space="1" w:color="auto"/>
          <w:right w:val="single" w:sz="4" w:space="4" w:color="auto"/>
        </w:pBdr>
        <w:rPr>
          <w:rFonts w:ascii="Arial" w:hAnsi="Arial" w:cs="Arial"/>
        </w:rPr>
      </w:pPr>
      <w:r w:rsidRPr="007C272F">
        <w:rPr>
          <w:rFonts w:ascii="Arial" w:hAnsi="Arial" w:cs="Arial"/>
        </w:rPr>
        <w:lastRenderedPageBreak/>
        <w:t>Artículo 49.  Con base en los convenios de colaboración ciudadana se hará un descuento del 50% a las cuotas señaladas en el artículo 23 de esta Ley.</w:t>
      </w:r>
    </w:p>
    <w:p w:rsidR="007C272F" w:rsidRDefault="007C272F" w:rsidP="007C272F">
      <w:pPr>
        <w:rPr>
          <w:rFonts w:ascii="Arial" w:hAnsi="Arial" w:cs="Arial"/>
        </w:rPr>
      </w:pPr>
      <w:r>
        <w:rPr>
          <w:rFonts w:ascii="Arial" w:hAnsi="Arial" w:cs="Arial"/>
        </w:rPr>
        <w:t>Se propone la eliminación de la referida facilidad administrativa.</w:t>
      </w:r>
    </w:p>
    <w:p w:rsidR="00D777C5" w:rsidRDefault="00D777C5" w:rsidP="00D777C5">
      <w:pPr>
        <w:pBdr>
          <w:top w:val="single" w:sz="4" w:space="1" w:color="auto"/>
          <w:left w:val="single" w:sz="4" w:space="4" w:color="auto"/>
          <w:bottom w:val="single" w:sz="4" w:space="1" w:color="auto"/>
          <w:right w:val="single" w:sz="4" w:space="4" w:color="auto"/>
        </w:pBdr>
        <w:rPr>
          <w:rFonts w:ascii="Arial" w:hAnsi="Arial" w:cs="Arial"/>
        </w:rPr>
      </w:pPr>
      <w:r w:rsidRPr="00D777C5">
        <w:rPr>
          <w:rFonts w:ascii="Arial" w:hAnsi="Arial" w:cs="Arial"/>
        </w:rPr>
        <w:t>Artículo 51. Los derechos por la expedición de constancias, certificados y certificaciones, se causarán al 50% de la tarifa prevista en el artículo 31 de esta Ley, cuando sean para la obtención de becas o para acceder a programas asistenciales.</w:t>
      </w:r>
    </w:p>
    <w:p w:rsidR="00D777C5" w:rsidRDefault="00D777C5" w:rsidP="00D777C5">
      <w:pPr>
        <w:rPr>
          <w:rFonts w:ascii="Arial" w:hAnsi="Arial" w:cs="Arial"/>
        </w:rPr>
      </w:pPr>
      <w:r>
        <w:rPr>
          <w:rFonts w:ascii="Arial" w:hAnsi="Arial" w:cs="Arial"/>
        </w:rPr>
        <w:t>Se propone la eliminación de la referida facilidad administrativa.</w:t>
      </w:r>
    </w:p>
    <w:p w:rsidR="00D777C5" w:rsidRDefault="00D777C5" w:rsidP="00D777C5">
      <w:pPr>
        <w:pBdr>
          <w:top w:val="single" w:sz="4" w:space="1" w:color="auto"/>
          <w:left w:val="single" w:sz="4" w:space="4" w:color="auto"/>
          <w:bottom w:val="single" w:sz="4" w:space="1" w:color="auto"/>
          <w:right w:val="single" w:sz="4" w:space="4" w:color="auto"/>
        </w:pBdr>
        <w:rPr>
          <w:rFonts w:ascii="Arial" w:hAnsi="Arial" w:cs="Arial"/>
        </w:rPr>
      </w:pPr>
      <w:r w:rsidRPr="00D777C5">
        <w:rPr>
          <w:rFonts w:ascii="Arial" w:hAnsi="Arial" w:cs="Arial"/>
        </w:rPr>
        <w:t>ARTICULO 53.-  Para la liquidación de la tarifa aplicable por la prestación del servicio de alumbrado público, se establece un beneficio a favor de los sujetos de la contribución, que consiste en que el m</w:t>
      </w:r>
      <w:r w:rsidR="00815204">
        <w:rPr>
          <w:rFonts w:ascii="Arial" w:hAnsi="Arial" w:cs="Arial"/>
        </w:rPr>
        <w:t>onto a pagar no será mayor al 15</w:t>
      </w:r>
      <w:r w:rsidRPr="00D777C5">
        <w:rPr>
          <w:rFonts w:ascii="Arial" w:hAnsi="Arial" w:cs="Arial"/>
        </w:rPr>
        <w:t>% de las cantidades que deban liquidarse en forma particular por el consumo de energía eléctrica, siempre y cuando el resultado de la operación no rebase la cantidad determinada de la tarifa correspondiente, para tal caso se aplica esta última.</w:t>
      </w:r>
    </w:p>
    <w:p w:rsidR="00D777C5" w:rsidRDefault="00D777C5" w:rsidP="00D777C5">
      <w:pPr>
        <w:pBdr>
          <w:top w:val="single" w:sz="4" w:space="1" w:color="auto"/>
          <w:left w:val="single" w:sz="4" w:space="4" w:color="auto"/>
          <w:bottom w:val="single" w:sz="4" w:space="1" w:color="auto"/>
          <w:right w:val="single" w:sz="4" w:space="4" w:color="auto"/>
        </w:pBdr>
        <w:rPr>
          <w:rFonts w:ascii="Arial" w:hAnsi="Arial" w:cs="Arial"/>
        </w:rPr>
      </w:pPr>
      <w:r w:rsidRPr="00D777C5">
        <w:rPr>
          <w:rFonts w:ascii="Arial" w:hAnsi="Arial" w:cs="Arial"/>
        </w:rPr>
        <w:t>Los contribuyentes que no tributen este derecho, a través del recibo que emita la CFE, dispondrán como beneficio fiscal, de una tarifa preferencial atendiendo la cuota anualizada que corresponda al Impuesto Predial  en la tabla siguiente:</w:t>
      </w:r>
    </w:p>
    <w:p w:rsidR="00815204" w:rsidRDefault="00815204" w:rsidP="00D777C5">
      <w:pPr>
        <w:rPr>
          <w:rFonts w:ascii="Arial" w:hAnsi="Arial" w:cs="Arial"/>
        </w:rPr>
      </w:pPr>
      <w:r>
        <w:rPr>
          <w:rFonts w:ascii="Arial" w:hAnsi="Arial" w:cs="Arial"/>
        </w:rPr>
        <w:t xml:space="preserve">Se considera un aumento del 10% al 15% como el porcentaje máximo a pagar por medio de la facturación que realiza la CFE. </w:t>
      </w:r>
    </w:p>
    <w:p w:rsidR="00D777C5" w:rsidRDefault="00D777C5" w:rsidP="00D777C5">
      <w:pPr>
        <w:rPr>
          <w:rFonts w:ascii="Arial" w:hAnsi="Arial" w:cs="Arial"/>
        </w:rPr>
      </w:pPr>
      <w:r>
        <w:rPr>
          <w:rFonts w:ascii="Arial" w:hAnsi="Arial" w:cs="Arial"/>
        </w:rPr>
        <w:t xml:space="preserve">Se propone un incremento del 156.46% sobre cada tarifa, dependiendo </w:t>
      </w:r>
      <w:r w:rsidR="00BC74E1">
        <w:rPr>
          <w:rFonts w:ascii="Arial" w:hAnsi="Arial" w:cs="Arial"/>
        </w:rPr>
        <w:t>d</w:t>
      </w:r>
      <w:r>
        <w:rPr>
          <w:rFonts w:ascii="Arial" w:hAnsi="Arial" w:cs="Arial"/>
        </w:rPr>
        <w:t>el rango</w:t>
      </w:r>
      <w:r w:rsidR="00BC74E1">
        <w:rPr>
          <w:rFonts w:ascii="Arial" w:hAnsi="Arial" w:cs="Arial"/>
        </w:rPr>
        <w:t xml:space="preserve"> según el impuesto predial a pagar</w:t>
      </w:r>
      <w:r>
        <w:rPr>
          <w:rFonts w:ascii="Arial" w:hAnsi="Arial" w:cs="Arial"/>
        </w:rPr>
        <w:t>.</w:t>
      </w:r>
    </w:p>
    <w:sectPr w:rsidR="00D777C5" w:rsidSect="002E2275">
      <w:headerReference w:type="default" r:id="rId9"/>
      <w:footerReference w:type="default" r:id="rId10"/>
      <w:type w:val="continuous"/>
      <w:pgSz w:w="12240" w:h="15840"/>
      <w:pgMar w:top="1417" w:right="1701" w:bottom="142"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ED2" w:rsidRDefault="00F85ED2" w:rsidP="003038F5">
      <w:pPr>
        <w:spacing w:after="0" w:line="240" w:lineRule="auto"/>
      </w:pPr>
      <w:r>
        <w:separator/>
      </w:r>
    </w:p>
  </w:endnote>
  <w:endnote w:type="continuationSeparator" w:id="0">
    <w:p w:rsidR="00F85ED2" w:rsidRDefault="00F85ED2" w:rsidP="00303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90D" w:rsidRDefault="001D390D">
    <w:pPr>
      <w:pStyle w:val="Piedepgina"/>
    </w:pPr>
    <w:r>
      <w:rPr>
        <w:lang w:val="es-ES"/>
      </w:rPr>
      <w:t xml:space="preserve">Página </w:t>
    </w:r>
    <w:r>
      <w:rPr>
        <w:b/>
        <w:bCs/>
      </w:rPr>
      <w:fldChar w:fldCharType="begin"/>
    </w:r>
    <w:r>
      <w:rPr>
        <w:b/>
        <w:bCs/>
      </w:rPr>
      <w:instrText>PAGE  \* Arabic  \* MERGEFORMAT</w:instrText>
    </w:r>
    <w:r>
      <w:rPr>
        <w:b/>
        <w:bCs/>
      </w:rPr>
      <w:fldChar w:fldCharType="separate"/>
    </w:r>
    <w:r w:rsidR="005635BB" w:rsidRPr="005635BB">
      <w:rPr>
        <w:b/>
        <w:bCs/>
        <w:noProof/>
        <w:lang w:val="es-ES"/>
      </w:rPr>
      <w:t>7</w:t>
    </w:r>
    <w:r>
      <w:rPr>
        <w:b/>
        <w:bCs/>
      </w:rPr>
      <w:fldChar w:fldCharType="end"/>
    </w:r>
    <w:r>
      <w:rPr>
        <w:lang w:val="es-ES"/>
      </w:rPr>
      <w:t xml:space="preserve"> de </w:t>
    </w:r>
    <w:r>
      <w:rPr>
        <w:b/>
        <w:bCs/>
      </w:rPr>
      <w:fldChar w:fldCharType="begin"/>
    </w:r>
    <w:r>
      <w:rPr>
        <w:b/>
        <w:bCs/>
      </w:rPr>
      <w:instrText>NUMPAGES  \* Arabic  \* MERGEFORMAT</w:instrText>
    </w:r>
    <w:r>
      <w:rPr>
        <w:b/>
        <w:bCs/>
      </w:rPr>
      <w:fldChar w:fldCharType="separate"/>
    </w:r>
    <w:r w:rsidR="005635BB" w:rsidRPr="005635BB">
      <w:rPr>
        <w:b/>
        <w:bCs/>
        <w:noProof/>
        <w:lang w:val="es-ES"/>
      </w:rPr>
      <w:t>7</w:t>
    </w:r>
    <w:r>
      <w:rPr>
        <w:b/>
        <w:bCs/>
      </w:rPr>
      <w:fldChar w:fldCharType="end"/>
    </w:r>
  </w:p>
  <w:p w:rsidR="0092482F" w:rsidRDefault="0092482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ED2" w:rsidRDefault="00F85ED2" w:rsidP="003038F5">
      <w:pPr>
        <w:spacing w:after="0" w:line="240" w:lineRule="auto"/>
      </w:pPr>
      <w:r>
        <w:separator/>
      </w:r>
    </w:p>
  </w:footnote>
  <w:footnote w:type="continuationSeparator" w:id="0">
    <w:p w:rsidR="00F85ED2" w:rsidRDefault="00F85ED2" w:rsidP="003038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38E" w:rsidRDefault="007B038E" w:rsidP="003038F5">
    <w:pPr>
      <w:pStyle w:val="Encabezado"/>
      <w:ind w:firstLine="1416"/>
      <w:jc w:val="center"/>
      <w:rPr>
        <w:rFonts w:cstheme="minorHAnsi"/>
        <w:b/>
        <w:color w:val="548DD4" w:themeColor="text2" w:themeTint="99"/>
        <w:spacing w:val="10"/>
        <w:sz w:val="28"/>
        <w:szCs w:val="28"/>
      </w:rPr>
    </w:pPr>
    <w:r w:rsidRPr="007B038E">
      <w:rPr>
        <w:rFonts w:cstheme="minorHAnsi"/>
        <w:b/>
        <w:noProof/>
        <w:color w:val="548DD4" w:themeColor="text2" w:themeTint="99"/>
        <w:spacing w:val="10"/>
        <w:sz w:val="28"/>
        <w:szCs w:val="28"/>
        <w:lang w:eastAsia="es-MX"/>
      </w:rPr>
      <w:drawing>
        <wp:anchor distT="0" distB="0" distL="114300" distR="114300" simplePos="0" relativeHeight="251658240" behindDoc="1" locked="0" layoutInCell="1" allowOverlap="1" wp14:anchorId="059C075F" wp14:editId="4DD372D2">
          <wp:simplePos x="0" y="0"/>
          <wp:positionH relativeFrom="margin">
            <wp:align>left</wp:align>
          </wp:positionH>
          <wp:positionV relativeFrom="page">
            <wp:align>top</wp:align>
          </wp:positionV>
          <wp:extent cx="990600" cy="990600"/>
          <wp:effectExtent l="0" t="0" r="0" b="0"/>
          <wp:wrapNone/>
          <wp:docPr id="3" name="Imagen 3" descr="C:\Users\35764\Desktop\Hoja Membretada y Logo\IMG_20181010_222023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35764\Desktop\Hoja Membretada y Logo\IMG_20181010_222023 (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754E9" w:rsidRDefault="00E754E9" w:rsidP="003038F5">
    <w:pPr>
      <w:pStyle w:val="Encabezado"/>
      <w:ind w:firstLine="1416"/>
      <w:jc w:val="center"/>
      <w:rPr>
        <w:rFonts w:cstheme="minorHAnsi"/>
        <w:b/>
        <w:color w:val="548DD4" w:themeColor="text2" w:themeTint="99"/>
        <w:spacing w:val="10"/>
        <w:sz w:val="24"/>
        <w:szCs w:val="24"/>
      </w:rPr>
    </w:pPr>
    <w:r w:rsidRPr="00E754E9">
      <w:rPr>
        <w:rFonts w:cstheme="minorHAnsi"/>
        <w:b/>
        <w:color w:val="548DD4" w:themeColor="text2" w:themeTint="99"/>
        <w:spacing w:val="10"/>
        <w:sz w:val="24"/>
        <w:szCs w:val="24"/>
      </w:rPr>
      <w:t>INICIATIVA DE LA LEY D</w:t>
    </w:r>
    <w:r>
      <w:rPr>
        <w:rFonts w:cstheme="minorHAnsi"/>
        <w:b/>
        <w:color w:val="548DD4" w:themeColor="text2" w:themeTint="99"/>
        <w:spacing w:val="10"/>
        <w:sz w:val="24"/>
        <w:szCs w:val="24"/>
      </w:rPr>
      <w:t xml:space="preserve">E INGRESOS PARA EL MUNICIPIO DE </w:t>
    </w:r>
  </w:p>
  <w:p w:rsidR="0092482F" w:rsidRPr="00E754E9" w:rsidRDefault="00E754E9" w:rsidP="003038F5">
    <w:pPr>
      <w:pStyle w:val="Encabezado"/>
      <w:ind w:firstLine="1416"/>
      <w:jc w:val="center"/>
      <w:rPr>
        <w:rFonts w:cstheme="minorHAnsi"/>
        <w:b/>
        <w:color w:val="548DD4" w:themeColor="text2" w:themeTint="99"/>
        <w:spacing w:val="10"/>
        <w:sz w:val="24"/>
        <w:szCs w:val="24"/>
      </w:rPr>
    </w:pPr>
    <w:r w:rsidRPr="00E754E9">
      <w:rPr>
        <w:rFonts w:cstheme="minorHAnsi"/>
        <w:b/>
        <w:color w:val="548DD4" w:themeColor="text2" w:themeTint="99"/>
        <w:spacing w:val="10"/>
        <w:sz w:val="24"/>
        <w:szCs w:val="24"/>
      </w:rPr>
      <w:t>GUANAJUATO PARA EL EJERCICIO FISCAL 2020.</w:t>
    </w:r>
  </w:p>
  <w:tbl>
    <w:tblPr>
      <w:tblStyle w:val="Tabladelista3-nfasis1"/>
      <w:tblW w:w="0" w:type="auto"/>
      <w:tblLook w:val="04A0" w:firstRow="1" w:lastRow="0" w:firstColumn="1" w:lastColumn="0" w:noHBand="0" w:noVBand="1"/>
    </w:tblPr>
    <w:tblGrid>
      <w:gridCol w:w="3858"/>
      <w:gridCol w:w="4970"/>
    </w:tblGrid>
    <w:tr w:rsidR="0092482F" w:rsidRPr="00EE63D2" w:rsidTr="007B038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858" w:type="dxa"/>
        </w:tcPr>
        <w:p w:rsidR="0092482F" w:rsidRPr="00EE63D2" w:rsidRDefault="0092482F" w:rsidP="002155F5">
          <w:pPr>
            <w:pStyle w:val="Encabezado"/>
            <w:jc w:val="center"/>
            <w:rPr>
              <w:rFonts w:cstheme="minorHAnsi"/>
              <w:i/>
              <w:sz w:val="24"/>
              <w:szCs w:val="24"/>
            </w:rPr>
          </w:pPr>
        </w:p>
      </w:tc>
      <w:tc>
        <w:tcPr>
          <w:tcW w:w="4970" w:type="dxa"/>
        </w:tcPr>
        <w:p w:rsidR="0092482F" w:rsidRPr="00EE63D2" w:rsidRDefault="0092482F" w:rsidP="003038F5">
          <w:pPr>
            <w:pStyle w:val="Encabezado"/>
            <w:jc w:val="right"/>
            <w:cnfStyle w:val="100000000000" w:firstRow="1" w:lastRow="0" w:firstColumn="0" w:lastColumn="0" w:oddVBand="0" w:evenVBand="0" w:oddHBand="0" w:evenHBand="0" w:firstRowFirstColumn="0" w:firstRowLastColumn="0" w:lastRowFirstColumn="0" w:lastRowLastColumn="0"/>
            <w:rPr>
              <w:rFonts w:cstheme="minorHAnsi"/>
              <w:i/>
              <w:sz w:val="24"/>
              <w:szCs w:val="24"/>
            </w:rPr>
          </w:pPr>
        </w:p>
      </w:tc>
    </w:tr>
  </w:tbl>
  <w:p w:rsidR="0092482F" w:rsidRDefault="0092482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4C5"/>
      </v:shape>
    </w:pict>
  </w:numPicBullet>
  <w:abstractNum w:abstractNumId="0" w15:restartNumberingAfterBreak="0">
    <w:nsid w:val="011D6F5B"/>
    <w:multiLevelType w:val="hybridMultilevel"/>
    <w:tmpl w:val="223EFA14"/>
    <w:lvl w:ilvl="0" w:tplc="22D46F1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5B38BA"/>
    <w:multiLevelType w:val="hybridMultilevel"/>
    <w:tmpl w:val="FC3AD5B6"/>
    <w:lvl w:ilvl="0" w:tplc="080A000B">
      <w:start w:val="1"/>
      <w:numFmt w:val="bullet"/>
      <w:lvlText w:val=""/>
      <w:lvlJc w:val="left"/>
      <w:pPr>
        <w:ind w:left="2160" w:hanging="360"/>
      </w:pPr>
      <w:rPr>
        <w:rFonts w:ascii="Wingdings" w:hAnsi="Wingdings" w:hint="default"/>
      </w:rPr>
    </w:lvl>
    <w:lvl w:ilvl="1" w:tplc="080A0003" w:tentative="1">
      <w:start w:val="1"/>
      <w:numFmt w:val="bullet"/>
      <w:lvlText w:val="o"/>
      <w:lvlJc w:val="left"/>
      <w:pPr>
        <w:ind w:left="2880" w:hanging="360"/>
      </w:pPr>
      <w:rPr>
        <w:rFonts w:ascii="Courier New" w:hAnsi="Courier New" w:cs="Courier New" w:hint="default"/>
      </w:rPr>
    </w:lvl>
    <w:lvl w:ilvl="2" w:tplc="080A0005" w:tentative="1">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2" w15:restartNumberingAfterBreak="0">
    <w:nsid w:val="04EA263F"/>
    <w:multiLevelType w:val="hybridMultilevel"/>
    <w:tmpl w:val="01880D84"/>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699470B"/>
    <w:multiLevelType w:val="hybridMultilevel"/>
    <w:tmpl w:val="4A90E1D0"/>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7BF4C48"/>
    <w:multiLevelType w:val="hybridMultilevel"/>
    <w:tmpl w:val="FCC6D5E6"/>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E5E6BC0"/>
    <w:multiLevelType w:val="hybridMultilevel"/>
    <w:tmpl w:val="EC1C7D2A"/>
    <w:lvl w:ilvl="0" w:tplc="080A0017">
      <w:start w:val="1"/>
      <w:numFmt w:val="lowerLetter"/>
      <w:lvlText w:val="%1)"/>
      <w:lvlJc w:val="left"/>
      <w:pPr>
        <w:ind w:left="2160" w:hanging="360"/>
      </w:pPr>
    </w:lvl>
    <w:lvl w:ilvl="1" w:tplc="080A0019" w:tentative="1">
      <w:start w:val="1"/>
      <w:numFmt w:val="lowerLetter"/>
      <w:lvlText w:val="%2."/>
      <w:lvlJc w:val="left"/>
      <w:pPr>
        <w:ind w:left="2880" w:hanging="360"/>
      </w:pPr>
    </w:lvl>
    <w:lvl w:ilvl="2" w:tplc="080A001B" w:tentative="1">
      <w:start w:val="1"/>
      <w:numFmt w:val="lowerRoman"/>
      <w:lvlText w:val="%3."/>
      <w:lvlJc w:val="right"/>
      <w:pPr>
        <w:ind w:left="3600" w:hanging="180"/>
      </w:pPr>
    </w:lvl>
    <w:lvl w:ilvl="3" w:tplc="080A000F" w:tentative="1">
      <w:start w:val="1"/>
      <w:numFmt w:val="decimal"/>
      <w:lvlText w:val="%4."/>
      <w:lvlJc w:val="left"/>
      <w:pPr>
        <w:ind w:left="4320" w:hanging="360"/>
      </w:pPr>
    </w:lvl>
    <w:lvl w:ilvl="4" w:tplc="080A0019" w:tentative="1">
      <w:start w:val="1"/>
      <w:numFmt w:val="lowerLetter"/>
      <w:lvlText w:val="%5."/>
      <w:lvlJc w:val="left"/>
      <w:pPr>
        <w:ind w:left="5040" w:hanging="360"/>
      </w:pPr>
    </w:lvl>
    <w:lvl w:ilvl="5" w:tplc="080A001B" w:tentative="1">
      <w:start w:val="1"/>
      <w:numFmt w:val="lowerRoman"/>
      <w:lvlText w:val="%6."/>
      <w:lvlJc w:val="right"/>
      <w:pPr>
        <w:ind w:left="5760" w:hanging="180"/>
      </w:pPr>
    </w:lvl>
    <w:lvl w:ilvl="6" w:tplc="080A000F" w:tentative="1">
      <w:start w:val="1"/>
      <w:numFmt w:val="decimal"/>
      <w:lvlText w:val="%7."/>
      <w:lvlJc w:val="left"/>
      <w:pPr>
        <w:ind w:left="6480" w:hanging="360"/>
      </w:pPr>
    </w:lvl>
    <w:lvl w:ilvl="7" w:tplc="080A0019" w:tentative="1">
      <w:start w:val="1"/>
      <w:numFmt w:val="lowerLetter"/>
      <w:lvlText w:val="%8."/>
      <w:lvlJc w:val="left"/>
      <w:pPr>
        <w:ind w:left="7200" w:hanging="360"/>
      </w:pPr>
    </w:lvl>
    <w:lvl w:ilvl="8" w:tplc="080A001B" w:tentative="1">
      <w:start w:val="1"/>
      <w:numFmt w:val="lowerRoman"/>
      <w:lvlText w:val="%9."/>
      <w:lvlJc w:val="right"/>
      <w:pPr>
        <w:ind w:left="7920" w:hanging="180"/>
      </w:pPr>
    </w:lvl>
  </w:abstractNum>
  <w:abstractNum w:abstractNumId="6" w15:restartNumberingAfterBreak="0">
    <w:nsid w:val="0FBF51A9"/>
    <w:multiLevelType w:val="hybridMultilevel"/>
    <w:tmpl w:val="7F822C72"/>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72801C1"/>
    <w:multiLevelType w:val="hybridMultilevel"/>
    <w:tmpl w:val="E4C63F7A"/>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15:restartNumberingAfterBreak="0">
    <w:nsid w:val="18BD4C68"/>
    <w:multiLevelType w:val="hybridMultilevel"/>
    <w:tmpl w:val="B546C864"/>
    <w:lvl w:ilvl="0" w:tplc="3738CFCE">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 w15:restartNumberingAfterBreak="0">
    <w:nsid w:val="1B0F53F3"/>
    <w:multiLevelType w:val="hybridMultilevel"/>
    <w:tmpl w:val="C582C0C0"/>
    <w:lvl w:ilvl="0" w:tplc="A73A091E">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2C5214B"/>
    <w:multiLevelType w:val="hybridMultilevel"/>
    <w:tmpl w:val="D78E0D6E"/>
    <w:lvl w:ilvl="0" w:tplc="DDF0D8E4">
      <w:start w:val="1"/>
      <w:numFmt w:val="lowerLetter"/>
      <w:lvlText w:val="%1)"/>
      <w:lvlJc w:val="left"/>
      <w:pPr>
        <w:ind w:left="21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62E7EB0"/>
    <w:multiLevelType w:val="hybridMultilevel"/>
    <w:tmpl w:val="16484F98"/>
    <w:lvl w:ilvl="0" w:tplc="080A0013">
      <w:start w:val="1"/>
      <w:numFmt w:val="upp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15:restartNumberingAfterBreak="0">
    <w:nsid w:val="27663660"/>
    <w:multiLevelType w:val="hybridMultilevel"/>
    <w:tmpl w:val="9C8086F4"/>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3" w15:restartNumberingAfterBreak="0">
    <w:nsid w:val="286E44C5"/>
    <w:multiLevelType w:val="hybridMultilevel"/>
    <w:tmpl w:val="FA9A80AC"/>
    <w:lvl w:ilvl="0" w:tplc="080A000B">
      <w:start w:val="1"/>
      <w:numFmt w:val="bullet"/>
      <w:lvlText w:val=""/>
      <w:lvlJc w:val="left"/>
      <w:pPr>
        <w:ind w:left="2160" w:hanging="360"/>
      </w:pPr>
      <w:rPr>
        <w:rFonts w:ascii="Wingdings" w:hAnsi="Wingdings" w:hint="default"/>
      </w:rPr>
    </w:lvl>
    <w:lvl w:ilvl="1" w:tplc="080A0003" w:tentative="1">
      <w:start w:val="1"/>
      <w:numFmt w:val="bullet"/>
      <w:lvlText w:val="o"/>
      <w:lvlJc w:val="left"/>
      <w:pPr>
        <w:ind w:left="2880" w:hanging="360"/>
      </w:pPr>
      <w:rPr>
        <w:rFonts w:ascii="Courier New" w:hAnsi="Courier New" w:cs="Courier New" w:hint="default"/>
      </w:rPr>
    </w:lvl>
    <w:lvl w:ilvl="2" w:tplc="080A0005" w:tentative="1">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14" w15:restartNumberingAfterBreak="0">
    <w:nsid w:val="299038D3"/>
    <w:multiLevelType w:val="hybridMultilevel"/>
    <w:tmpl w:val="6CFEBD3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E1B740B"/>
    <w:multiLevelType w:val="hybridMultilevel"/>
    <w:tmpl w:val="2B80217A"/>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FEE6771"/>
    <w:multiLevelType w:val="hybridMultilevel"/>
    <w:tmpl w:val="0B24AFBC"/>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15:restartNumberingAfterBreak="0">
    <w:nsid w:val="359B4717"/>
    <w:multiLevelType w:val="hybridMultilevel"/>
    <w:tmpl w:val="0826119E"/>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15:restartNumberingAfterBreak="0">
    <w:nsid w:val="38A72670"/>
    <w:multiLevelType w:val="hybridMultilevel"/>
    <w:tmpl w:val="872C2EA8"/>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9" w15:restartNumberingAfterBreak="0">
    <w:nsid w:val="427D7499"/>
    <w:multiLevelType w:val="hybridMultilevel"/>
    <w:tmpl w:val="BBD0D41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2E167AE"/>
    <w:multiLevelType w:val="hybridMultilevel"/>
    <w:tmpl w:val="7C4E4E98"/>
    <w:lvl w:ilvl="0" w:tplc="080A000B">
      <w:start w:val="1"/>
      <w:numFmt w:val="bullet"/>
      <w:lvlText w:val=""/>
      <w:lvlJc w:val="left"/>
      <w:pPr>
        <w:ind w:left="2160" w:hanging="360"/>
      </w:pPr>
      <w:rPr>
        <w:rFonts w:ascii="Wingdings" w:hAnsi="Wingdings" w:hint="default"/>
      </w:rPr>
    </w:lvl>
    <w:lvl w:ilvl="1" w:tplc="080A0003" w:tentative="1">
      <w:start w:val="1"/>
      <w:numFmt w:val="bullet"/>
      <w:lvlText w:val="o"/>
      <w:lvlJc w:val="left"/>
      <w:pPr>
        <w:ind w:left="2880" w:hanging="360"/>
      </w:pPr>
      <w:rPr>
        <w:rFonts w:ascii="Courier New" w:hAnsi="Courier New" w:cs="Courier New" w:hint="default"/>
      </w:rPr>
    </w:lvl>
    <w:lvl w:ilvl="2" w:tplc="080A0005" w:tentative="1">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21" w15:restartNumberingAfterBreak="0">
    <w:nsid w:val="450E6F67"/>
    <w:multiLevelType w:val="hybridMultilevel"/>
    <w:tmpl w:val="236AEDAC"/>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9C6661D"/>
    <w:multiLevelType w:val="hybridMultilevel"/>
    <w:tmpl w:val="AE18459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E401204"/>
    <w:multiLevelType w:val="hybridMultilevel"/>
    <w:tmpl w:val="C6880268"/>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15:restartNumberingAfterBreak="0">
    <w:nsid w:val="61BF159C"/>
    <w:multiLevelType w:val="hybridMultilevel"/>
    <w:tmpl w:val="657EF1D8"/>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5" w15:restartNumberingAfterBreak="0">
    <w:nsid w:val="634F271A"/>
    <w:multiLevelType w:val="hybridMultilevel"/>
    <w:tmpl w:val="97A05F98"/>
    <w:lvl w:ilvl="0" w:tplc="080A0011">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6" w15:restartNumberingAfterBreak="0">
    <w:nsid w:val="704D7CDD"/>
    <w:multiLevelType w:val="hybridMultilevel"/>
    <w:tmpl w:val="0D56154E"/>
    <w:lvl w:ilvl="0" w:tplc="080A0007">
      <w:start w:val="1"/>
      <w:numFmt w:val="bullet"/>
      <w:lvlText w:val=""/>
      <w:lvlPicBulletId w:val="0"/>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7" w15:restartNumberingAfterBreak="0">
    <w:nsid w:val="74826155"/>
    <w:multiLevelType w:val="hybridMultilevel"/>
    <w:tmpl w:val="0B5080A6"/>
    <w:lvl w:ilvl="0" w:tplc="080A0001">
      <w:start w:val="1"/>
      <w:numFmt w:val="bullet"/>
      <w:lvlText w:val=""/>
      <w:lvlJc w:val="left"/>
      <w:pPr>
        <w:ind w:left="2160" w:hanging="360"/>
      </w:pPr>
      <w:rPr>
        <w:rFonts w:ascii="Symbol" w:hAnsi="Symbol" w:hint="default"/>
      </w:rPr>
    </w:lvl>
    <w:lvl w:ilvl="1" w:tplc="080A0003" w:tentative="1">
      <w:start w:val="1"/>
      <w:numFmt w:val="bullet"/>
      <w:lvlText w:val="o"/>
      <w:lvlJc w:val="left"/>
      <w:pPr>
        <w:ind w:left="2880" w:hanging="360"/>
      </w:pPr>
      <w:rPr>
        <w:rFonts w:ascii="Courier New" w:hAnsi="Courier New" w:cs="Courier New" w:hint="default"/>
      </w:rPr>
    </w:lvl>
    <w:lvl w:ilvl="2" w:tplc="080A0005" w:tentative="1">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28" w15:restartNumberingAfterBreak="0">
    <w:nsid w:val="76295C88"/>
    <w:multiLevelType w:val="hybridMultilevel"/>
    <w:tmpl w:val="134EDB82"/>
    <w:lvl w:ilvl="0" w:tplc="24AA046C">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15:restartNumberingAfterBreak="0">
    <w:nsid w:val="7BAB3206"/>
    <w:multiLevelType w:val="hybridMultilevel"/>
    <w:tmpl w:val="88883B42"/>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15"/>
  </w:num>
  <w:num w:numId="2">
    <w:abstractNumId w:val="4"/>
  </w:num>
  <w:num w:numId="3">
    <w:abstractNumId w:val="0"/>
  </w:num>
  <w:num w:numId="4">
    <w:abstractNumId w:val="29"/>
  </w:num>
  <w:num w:numId="5">
    <w:abstractNumId w:val="19"/>
  </w:num>
  <w:num w:numId="6">
    <w:abstractNumId w:val="3"/>
  </w:num>
  <w:num w:numId="7">
    <w:abstractNumId w:val="14"/>
  </w:num>
  <w:num w:numId="8">
    <w:abstractNumId w:val="21"/>
  </w:num>
  <w:num w:numId="9">
    <w:abstractNumId w:val="9"/>
  </w:num>
  <w:num w:numId="10">
    <w:abstractNumId w:val="22"/>
  </w:num>
  <w:num w:numId="11">
    <w:abstractNumId w:val="6"/>
  </w:num>
  <w:num w:numId="12">
    <w:abstractNumId w:val="18"/>
  </w:num>
  <w:num w:numId="13">
    <w:abstractNumId w:val="23"/>
  </w:num>
  <w:num w:numId="14">
    <w:abstractNumId w:val="24"/>
  </w:num>
  <w:num w:numId="15">
    <w:abstractNumId w:val="11"/>
  </w:num>
  <w:num w:numId="16">
    <w:abstractNumId w:val="1"/>
  </w:num>
  <w:num w:numId="17">
    <w:abstractNumId w:val="13"/>
  </w:num>
  <w:num w:numId="18">
    <w:abstractNumId w:val="20"/>
  </w:num>
  <w:num w:numId="19">
    <w:abstractNumId w:val="12"/>
  </w:num>
  <w:num w:numId="20">
    <w:abstractNumId w:val="2"/>
  </w:num>
  <w:num w:numId="21">
    <w:abstractNumId w:val="26"/>
  </w:num>
  <w:num w:numId="22">
    <w:abstractNumId w:val="27"/>
  </w:num>
  <w:num w:numId="23">
    <w:abstractNumId w:val="7"/>
  </w:num>
  <w:num w:numId="24">
    <w:abstractNumId w:val="5"/>
  </w:num>
  <w:num w:numId="25">
    <w:abstractNumId w:val="10"/>
  </w:num>
  <w:num w:numId="26">
    <w:abstractNumId w:val="17"/>
  </w:num>
  <w:num w:numId="27">
    <w:abstractNumId w:val="28"/>
  </w:num>
  <w:num w:numId="28">
    <w:abstractNumId w:val="16"/>
  </w:num>
  <w:num w:numId="29">
    <w:abstractNumId w:val="8"/>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8F5"/>
    <w:rsid w:val="00014DD4"/>
    <w:rsid w:val="000254AC"/>
    <w:rsid w:val="000309E9"/>
    <w:rsid w:val="00033678"/>
    <w:rsid w:val="000339B4"/>
    <w:rsid w:val="000442B3"/>
    <w:rsid w:val="00051BB4"/>
    <w:rsid w:val="0005601C"/>
    <w:rsid w:val="00075E5F"/>
    <w:rsid w:val="00080E6C"/>
    <w:rsid w:val="00084DE4"/>
    <w:rsid w:val="00091C8F"/>
    <w:rsid w:val="000925A5"/>
    <w:rsid w:val="00093098"/>
    <w:rsid w:val="00095343"/>
    <w:rsid w:val="000B20DA"/>
    <w:rsid w:val="000C0AC5"/>
    <w:rsid w:val="000D732F"/>
    <w:rsid w:val="000E149D"/>
    <w:rsid w:val="000F5243"/>
    <w:rsid w:val="000F5D18"/>
    <w:rsid w:val="000F65C0"/>
    <w:rsid w:val="00121E9D"/>
    <w:rsid w:val="00140DE4"/>
    <w:rsid w:val="00143807"/>
    <w:rsid w:val="001479CD"/>
    <w:rsid w:val="00161798"/>
    <w:rsid w:val="001772C3"/>
    <w:rsid w:val="0017737D"/>
    <w:rsid w:val="00183B61"/>
    <w:rsid w:val="00184E11"/>
    <w:rsid w:val="00187B0B"/>
    <w:rsid w:val="00191525"/>
    <w:rsid w:val="00196B09"/>
    <w:rsid w:val="00196B98"/>
    <w:rsid w:val="001A1930"/>
    <w:rsid w:val="001A4A9B"/>
    <w:rsid w:val="001A6212"/>
    <w:rsid w:val="001B16A5"/>
    <w:rsid w:val="001C293C"/>
    <w:rsid w:val="001D0079"/>
    <w:rsid w:val="001D390D"/>
    <w:rsid w:val="001F4E47"/>
    <w:rsid w:val="0021289F"/>
    <w:rsid w:val="002155F5"/>
    <w:rsid w:val="0022041F"/>
    <w:rsid w:val="002278D7"/>
    <w:rsid w:val="00235238"/>
    <w:rsid w:val="00241DE7"/>
    <w:rsid w:val="00245924"/>
    <w:rsid w:val="00250189"/>
    <w:rsid w:val="00252FEF"/>
    <w:rsid w:val="00256897"/>
    <w:rsid w:val="00262C17"/>
    <w:rsid w:val="0027306C"/>
    <w:rsid w:val="002821F4"/>
    <w:rsid w:val="002829DB"/>
    <w:rsid w:val="00291516"/>
    <w:rsid w:val="002915E9"/>
    <w:rsid w:val="00293F55"/>
    <w:rsid w:val="002A054D"/>
    <w:rsid w:val="002C34CD"/>
    <w:rsid w:val="002D4F22"/>
    <w:rsid w:val="002E1BA9"/>
    <w:rsid w:val="002E2275"/>
    <w:rsid w:val="002E790C"/>
    <w:rsid w:val="002F2A94"/>
    <w:rsid w:val="002F5A62"/>
    <w:rsid w:val="003038F5"/>
    <w:rsid w:val="003143F7"/>
    <w:rsid w:val="00332F18"/>
    <w:rsid w:val="00340A7D"/>
    <w:rsid w:val="00340D9B"/>
    <w:rsid w:val="003707E9"/>
    <w:rsid w:val="00376CA0"/>
    <w:rsid w:val="0038740E"/>
    <w:rsid w:val="00394D27"/>
    <w:rsid w:val="00395571"/>
    <w:rsid w:val="003A3955"/>
    <w:rsid w:val="003A692F"/>
    <w:rsid w:val="003D3DC7"/>
    <w:rsid w:val="003E3726"/>
    <w:rsid w:val="003E6942"/>
    <w:rsid w:val="003F3090"/>
    <w:rsid w:val="003F30BB"/>
    <w:rsid w:val="003F6A96"/>
    <w:rsid w:val="0040679E"/>
    <w:rsid w:val="004158A2"/>
    <w:rsid w:val="004203A6"/>
    <w:rsid w:val="00420FE5"/>
    <w:rsid w:val="00426F7E"/>
    <w:rsid w:val="00435892"/>
    <w:rsid w:val="00436309"/>
    <w:rsid w:val="004453B1"/>
    <w:rsid w:val="00445A91"/>
    <w:rsid w:val="004816DE"/>
    <w:rsid w:val="0048206E"/>
    <w:rsid w:val="00483CE1"/>
    <w:rsid w:val="00490C5B"/>
    <w:rsid w:val="004938F3"/>
    <w:rsid w:val="00494BD8"/>
    <w:rsid w:val="004A56E3"/>
    <w:rsid w:val="004C7378"/>
    <w:rsid w:val="004D455D"/>
    <w:rsid w:val="004D603D"/>
    <w:rsid w:val="004E30CE"/>
    <w:rsid w:val="004F3F13"/>
    <w:rsid w:val="004F525A"/>
    <w:rsid w:val="00511108"/>
    <w:rsid w:val="0051394D"/>
    <w:rsid w:val="00516F50"/>
    <w:rsid w:val="005378DF"/>
    <w:rsid w:val="005635BB"/>
    <w:rsid w:val="00566070"/>
    <w:rsid w:val="00566295"/>
    <w:rsid w:val="00593123"/>
    <w:rsid w:val="005B18C7"/>
    <w:rsid w:val="005C2103"/>
    <w:rsid w:val="005D24ED"/>
    <w:rsid w:val="005D401E"/>
    <w:rsid w:val="005E7CE9"/>
    <w:rsid w:val="005F6D7E"/>
    <w:rsid w:val="00614604"/>
    <w:rsid w:val="0063578C"/>
    <w:rsid w:val="0064072B"/>
    <w:rsid w:val="006454C2"/>
    <w:rsid w:val="00667A9F"/>
    <w:rsid w:val="00670D2D"/>
    <w:rsid w:val="00682E12"/>
    <w:rsid w:val="0069292E"/>
    <w:rsid w:val="00694524"/>
    <w:rsid w:val="00697398"/>
    <w:rsid w:val="006A3357"/>
    <w:rsid w:val="006A3CC3"/>
    <w:rsid w:val="006A756E"/>
    <w:rsid w:val="006F5865"/>
    <w:rsid w:val="006F6CE2"/>
    <w:rsid w:val="007000E9"/>
    <w:rsid w:val="007361DB"/>
    <w:rsid w:val="007366CC"/>
    <w:rsid w:val="0075225F"/>
    <w:rsid w:val="007632F5"/>
    <w:rsid w:val="00775C11"/>
    <w:rsid w:val="00797183"/>
    <w:rsid w:val="00797E54"/>
    <w:rsid w:val="007A293D"/>
    <w:rsid w:val="007A4090"/>
    <w:rsid w:val="007B038E"/>
    <w:rsid w:val="007C0F50"/>
    <w:rsid w:val="007C1FE2"/>
    <w:rsid w:val="007C272F"/>
    <w:rsid w:val="007C3038"/>
    <w:rsid w:val="007C475E"/>
    <w:rsid w:val="007C5D3A"/>
    <w:rsid w:val="007D4969"/>
    <w:rsid w:val="007D4E06"/>
    <w:rsid w:val="007E7937"/>
    <w:rsid w:val="00803480"/>
    <w:rsid w:val="00803A4B"/>
    <w:rsid w:val="00805144"/>
    <w:rsid w:val="00812BC5"/>
    <w:rsid w:val="00813E6E"/>
    <w:rsid w:val="00815204"/>
    <w:rsid w:val="00826CF8"/>
    <w:rsid w:val="00826FDC"/>
    <w:rsid w:val="00831BF4"/>
    <w:rsid w:val="00851336"/>
    <w:rsid w:val="008606E4"/>
    <w:rsid w:val="00875C5E"/>
    <w:rsid w:val="00877596"/>
    <w:rsid w:val="00883B3B"/>
    <w:rsid w:val="00886FE1"/>
    <w:rsid w:val="00895764"/>
    <w:rsid w:val="008A2086"/>
    <w:rsid w:val="008B37F3"/>
    <w:rsid w:val="008B4599"/>
    <w:rsid w:val="008C588F"/>
    <w:rsid w:val="008D2439"/>
    <w:rsid w:val="008D27D1"/>
    <w:rsid w:val="008E19DD"/>
    <w:rsid w:val="008F1410"/>
    <w:rsid w:val="008F7D1B"/>
    <w:rsid w:val="0092482F"/>
    <w:rsid w:val="009331A9"/>
    <w:rsid w:val="00933914"/>
    <w:rsid w:val="00951D2F"/>
    <w:rsid w:val="0095396E"/>
    <w:rsid w:val="00960858"/>
    <w:rsid w:val="00967B73"/>
    <w:rsid w:val="00983DF3"/>
    <w:rsid w:val="00983F43"/>
    <w:rsid w:val="009845D0"/>
    <w:rsid w:val="00984F19"/>
    <w:rsid w:val="009D056C"/>
    <w:rsid w:val="009D420E"/>
    <w:rsid w:val="009D4C7A"/>
    <w:rsid w:val="009E0073"/>
    <w:rsid w:val="009E4109"/>
    <w:rsid w:val="009F703F"/>
    <w:rsid w:val="00A0107D"/>
    <w:rsid w:val="00A114F6"/>
    <w:rsid w:val="00A1375E"/>
    <w:rsid w:val="00A17B47"/>
    <w:rsid w:val="00A21BF6"/>
    <w:rsid w:val="00A23ED2"/>
    <w:rsid w:val="00A26877"/>
    <w:rsid w:val="00A46876"/>
    <w:rsid w:val="00A50E89"/>
    <w:rsid w:val="00A53598"/>
    <w:rsid w:val="00A57324"/>
    <w:rsid w:val="00A60CBC"/>
    <w:rsid w:val="00A656CB"/>
    <w:rsid w:val="00A67038"/>
    <w:rsid w:val="00A71643"/>
    <w:rsid w:val="00A72284"/>
    <w:rsid w:val="00A829A7"/>
    <w:rsid w:val="00A86EA4"/>
    <w:rsid w:val="00A979F5"/>
    <w:rsid w:val="00AB1324"/>
    <w:rsid w:val="00AC1014"/>
    <w:rsid w:val="00AD4A57"/>
    <w:rsid w:val="00AD602E"/>
    <w:rsid w:val="00AD68FC"/>
    <w:rsid w:val="00B10754"/>
    <w:rsid w:val="00B31EBC"/>
    <w:rsid w:val="00B46D3B"/>
    <w:rsid w:val="00B61726"/>
    <w:rsid w:val="00B623CF"/>
    <w:rsid w:val="00B70C56"/>
    <w:rsid w:val="00B71FE4"/>
    <w:rsid w:val="00B80C25"/>
    <w:rsid w:val="00BB0F2D"/>
    <w:rsid w:val="00BB6F0E"/>
    <w:rsid w:val="00BC4A5C"/>
    <w:rsid w:val="00BC4CA7"/>
    <w:rsid w:val="00BC74E1"/>
    <w:rsid w:val="00BD3297"/>
    <w:rsid w:val="00BE34EC"/>
    <w:rsid w:val="00BE6701"/>
    <w:rsid w:val="00BF32D1"/>
    <w:rsid w:val="00C1122D"/>
    <w:rsid w:val="00C15FF5"/>
    <w:rsid w:val="00C175A6"/>
    <w:rsid w:val="00C32330"/>
    <w:rsid w:val="00C5042F"/>
    <w:rsid w:val="00C92CD6"/>
    <w:rsid w:val="00CA679B"/>
    <w:rsid w:val="00CB1697"/>
    <w:rsid w:val="00CC3EAE"/>
    <w:rsid w:val="00CD423A"/>
    <w:rsid w:val="00D01534"/>
    <w:rsid w:val="00D146A7"/>
    <w:rsid w:val="00D15499"/>
    <w:rsid w:val="00D2054E"/>
    <w:rsid w:val="00D2250E"/>
    <w:rsid w:val="00D23402"/>
    <w:rsid w:val="00D25D09"/>
    <w:rsid w:val="00D3697E"/>
    <w:rsid w:val="00D721BF"/>
    <w:rsid w:val="00D777C5"/>
    <w:rsid w:val="00D85027"/>
    <w:rsid w:val="00D8664E"/>
    <w:rsid w:val="00DB3318"/>
    <w:rsid w:val="00DC3DDC"/>
    <w:rsid w:val="00DD3A6A"/>
    <w:rsid w:val="00DD6EFD"/>
    <w:rsid w:val="00DE7538"/>
    <w:rsid w:val="00E02290"/>
    <w:rsid w:val="00E07BC3"/>
    <w:rsid w:val="00E10C64"/>
    <w:rsid w:val="00E1515E"/>
    <w:rsid w:val="00E15997"/>
    <w:rsid w:val="00E311DF"/>
    <w:rsid w:val="00E31F58"/>
    <w:rsid w:val="00E60F3E"/>
    <w:rsid w:val="00E620E2"/>
    <w:rsid w:val="00E624F0"/>
    <w:rsid w:val="00E65A9C"/>
    <w:rsid w:val="00E754E9"/>
    <w:rsid w:val="00E804FA"/>
    <w:rsid w:val="00E82BE6"/>
    <w:rsid w:val="00E83929"/>
    <w:rsid w:val="00E85558"/>
    <w:rsid w:val="00EB25F8"/>
    <w:rsid w:val="00EC3970"/>
    <w:rsid w:val="00ED095C"/>
    <w:rsid w:val="00ED2879"/>
    <w:rsid w:val="00ED595E"/>
    <w:rsid w:val="00EE52D4"/>
    <w:rsid w:val="00EF226A"/>
    <w:rsid w:val="00F16035"/>
    <w:rsid w:val="00F21588"/>
    <w:rsid w:val="00F37BFA"/>
    <w:rsid w:val="00F54A1C"/>
    <w:rsid w:val="00F55638"/>
    <w:rsid w:val="00F66DAC"/>
    <w:rsid w:val="00F72E31"/>
    <w:rsid w:val="00F74A01"/>
    <w:rsid w:val="00F80898"/>
    <w:rsid w:val="00F85ED2"/>
    <w:rsid w:val="00F91B78"/>
    <w:rsid w:val="00F949A1"/>
    <w:rsid w:val="00F966C1"/>
    <w:rsid w:val="00FB6B94"/>
    <w:rsid w:val="00FC4BAC"/>
    <w:rsid w:val="00FD129E"/>
    <w:rsid w:val="00FD3D8B"/>
    <w:rsid w:val="00FD6351"/>
    <w:rsid w:val="00FE14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E71701-3FE2-4411-8873-D35449EB8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D2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038F5"/>
    <w:pPr>
      <w:tabs>
        <w:tab w:val="center" w:pos="4419"/>
        <w:tab w:val="right" w:pos="8838"/>
      </w:tabs>
      <w:spacing w:after="0" w:line="240" w:lineRule="auto"/>
    </w:pPr>
  </w:style>
  <w:style w:type="character" w:customStyle="1" w:styleId="EncabezadoCar">
    <w:name w:val="Encabezado Car"/>
    <w:basedOn w:val="Fuentedeprrafopredeter"/>
    <w:link w:val="Encabezado"/>
    <w:rsid w:val="003038F5"/>
  </w:style>
  <w:style w:type="paragraph" w:styleId="Piedepgina">
    <w:name w:val="footer"/>
    <w:basedOn w:val="Normal"/>
    <w:link w:val="PiedepginaCar"/>
    <w:uiPriority w:val="99"/>
    <w:unhideWhenUsed/>
    <w:rsid w:val="003038F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038F5"/>
  </w:style>
  <w:style w:type="paragraph" w:styleId="Textodeglobo">
    <w:name w:val="Balloon Text"/>
    <w:basedOn w:val="Normal"/>
    <w:link w:val="TextodegloboCar"/>
    <w:uiPriority w:val="99"/>
    <w:semiHidden/>
    <w:unhideWhenUsed/>
    <w:rsid w:val="003038F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038F5"/>
    <w:rPr>
      <w:rFonts w:ascii="Tahoma" w:hAnsi="Tahoma" w:cs="Tahoma"/>
      <w:sz w:val="16"/>
      <w:szCs w:val="16"/>
    </w:rPr>
  </w:style>
  <w:style w:type="table" w:customStyle="1" w:styleId="Tabladelista1clara-nfasis21">
    <w:name w:val="Tabla de lista 1 clara - Énfasis 21"/>
    <w:basedOn w:val="Tablanormal"/>
    <w:uiPriority w:val="46"/>
    <w:rsid w:val="003038F5"/>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Prrafodelista">
    <w:name w:val="List Paragraph"/>
    <w:basedOn w:val="Normal"/>
    <w:uiPriority w:val="34"/>
    <w:qFormat/>
    <w:rsid w:val="003038F5"/>
    <w:pPr>
      <w:ind w:left="720"/>
      <w:contextualSpacing/>
    </w:pPr>
  </w:style>
  <w:style w:type="table" w:styleId="Tablaconcuadrcula">
    <w:name w:val="Table Grid"/>
    <w:basedOn w:val="Tablanormal"/>
    <w:uiPriority w:val="59"/>
    <w:rsid w:val="00293F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
    <w:name w:val="Tabla de lista 4 - Énfasis 21"/>
    <w:basedOn w:val="Tablanormal"/>
    <w:uiPriority w:val="49"/>
    <w:rsid w:val="00293F55"/>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Hipervnculo">
    <w:name w:val="Hyperlink"/>
    <w:basedOn w:val="Fuentedeprrafopredeter"/>
    <w:uiPriority w:val="99"/>
    <w:unhideWhenUsed/>
    <w:rsid w:val="00143807"/>
    <w:rPr>
      <w:color w:val="0000FF" w:themeColor="hyperlink"/>
      <w:u w:val="single"/>
    </w:rPr>
  </w:style>
  <w:style w:type="table" w:styleId="Tabladelista3-nfasis1">
    <w:name w:val="List Table 3 Accent 1"/>
    <w:basedOn w:val="Tablanormal"/>
    <w:uiPriority w:val="48"/>
    <w:rsid w:val="007B038E"/>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5559">
      <w:bodyDiv w:val="1"/>
      <w:marLeft w:val="0"/>
      <w:marRight w:val="0"/>
      <w:marTop w:val="0"/>
      <w:marBottom w:val="0"/>
      <w:divBdr>
        <w:top w:val="none" w:sz="0" w:space="0" w:color="auto"/>
        <w:left w:val="none" w:sz="0" w:space="0" w:color="auto"/>
        <w:bottom w:val="none" w:sz="0" w:space="0" w:color="auto"/>
        <w:right w:val="none" w:sz="0" w:space="0" w:color="auto"/>
      </w:divBdr>
    </w:div>
    <w:div w:id="443965086">
      <w:bodyDiv w:val="1"/>
      <w:marLeft w:val="0"/>
      <w:marRight w:val="0"/>
      <w:marTop w:val="0"/>
      <w:marBottom w:val="0"/>
      <w:divBdr>
        <w:top w:val="none" w:sz="0" w:space="0" w:color="auto"/>
        <w:left w:val="none" w:sz="0" w:space="0" w:color="auto"/>
        <w:bottom w:val="none" w:sz="0" w:space="0" w:color="auto"/>
        <w:right w:val="none" w:sz="0" w:space="0" w:color="auto"/>
      </w:divBdr>
    </w:div>
    <w:div w:id="708148182">
      <w:bodyDiv w:val="1"/>
      <w:marLeft w:val="0"/>
      <w:marRight w:val="0"/>
      <w:marTop w:val="0"/>
      <w:marBottom w:val="0"/>
      <w:divBdr>
        <w:top w:val="none" w:sz="0" w:space="0" w:color="auto"/>
        <w:left w:val="none" w:sz="0" w:space="0" w:color="auto"/>
        <w:bottom w:val="none" w:sz="0" w:space="0" w:color="auto"/>
        <w:right w:val="none" w:sz="0" w:space="0" w:color="auto"/>
      </w:divBdr>
    </w:div>
    <w:div w:id="710499492">
      <w:bodyDiv w:val="1"/>
      <w:marLeft w:val="0"/>
      <w:marRight w:val="0"/>
      <w:marTop w:val="0"/>
      <w:marBottom w:val="0"/>
      <w:divBdr>
        <w:top w:val="none" w:sz="0" w:space="0" w:color="auto"/>
        <w:left w:val="none" w:sz="0" w:space="0" w:color="auto"/>
        <w:bottom w:val="none" w:sz="0" w:space="0" w:color="auto"/>
        <w:right w:val="none" w:sz="0" w:space="0" w:color="auto"/>
      </w:divBdr>
    </w:div>
    <w:div w:id="898595902">
      <w:bodyDiv w:val="1"/>
      <w:marLeft w:val="0"/>
      <w:marRight w:val="0"/>
      <w:marTop w:val="0"/>
      <w:marBottom w:val="0"/>
      <w:divBdr>
        <w:top w:val="none" w:sz="0" w:space="0" w:color="auto"/>
        <w:left w:val="none" w:sz="0" w:space="0" w:color="auto"/>
        <w:bottom w:val="none" w:sz="0" w:space="0" w:color="auto"/>
        <w:right w:val="none" w:sz="0" w:space="0" w:color="auto"/>
      </w:divBdr>
    </w:div>
    <w:div w:id="935329820">
      <w:bodyDiv w:val="1"/>
      <w:marLeft w:val="0"/>
      <w:marRight w:val="0"/>
      <w:marTop w:val="0"/>
      <w:marBottom w:val="0"/>
      <w:divBdr>
        <w:top w:val="none" w:sz="0" w:space="0" w:color="auto"/>
        <w:left w:val="none" w:sz="0" w:space="0" w:color="auto"/>
        <w:bottom w:val="none" w:sz="0" w:space="0" w:color="auto"/>
        <w:right w:val="none" w:sz="0" w:space="0" w:color="auto"/>
      </w:divBdr>
    </w:div>
    <w:div w:id="981232594">
      <w:bodyDiv w:val="1"/>
      <w:marLeft w:val="0"/>
      <w:marRight w:val="0"/>
      <w:marTop w:val="0"/>
      <w:marBottom w:val="0"/>
      <w:divBdr>
        <w:top w:val="none" w:sz="0" w:space="0" w:color="auto"/>
        <w:left w:val="none" w:sz="0" w:space="0" w:color="auto"/>
        <w:bottom w:val="none" w:sz="0" w:space="0" w:color="auto"/>
        <w:right w:val="none" w:sz="0" w:space="0" w:color="auto"/>
      </w:divBdr>
    </w:div>
    <w:div w:id="1058748091">
      <w:bodyDiv w:val="1"/>
      <w:marLeft w:val="0"/>
      <w:marRight w:val="0"/>
      <w:marTop w:val="0"/>
      <w:marBottom w:val="0"/>
      <w:divBdr>
        <w:top w:val="none" w:sz="0" w:space="0" w:color="auto"/>
        <w:left w:val="none" w:sz="0" w:space="0" w:color="auto"/>
        <w:bottom w:val="none" w:sz="0" w:space="0" w:color="auto"/>
        <w:right w:val="none" w:sz="0" w:space="0" w:color="auto"/>
      </w:divBdr>
    </w:div>
    <w:div w:id="1311327613">
      <w:bodyDiv w:val="1"/>
      <w:marLeft w:val="0"/>
      <w:marRight w:val="0"/>
      <w:marTop w:val="0"/>
      <w:marBottom w:val="0"/>
      <w:divBdr>
        <w:top w:val="none" w:sz="0" w:space="0" w:color="auto"/>
        <w:left w:val="none" w:sz="0" w:space="0" w:color="auto"/>
        <w:bottom w:val="none" w:sz="0" w:space="0" w:color="auto"/>
        <w:right w:val="none" w:sz="0" w:space="0" w:color="auto"/>
      </w:divBdr>
    </w:div>
    <w:div w:id="1358510219">
      <w:bodyDiv w:val="1"/>
      <w:marLeft w:val="0"/>
      <w:marRight w:val="0"/>
      <w:marTop w:val="0"/>
      <w:marBottom w:val="0"/>
      <w:divBdr>
        <w:top w:val="none" w:sz="0" w:space="0" w:color="auto"/>
        <w:left w:val="none" w:sz="0" w:space="0" w:color="auto"/>
        <w:bottom w:val="none" w:sz="0" w:space="0" w:color="auto"/>
        <w:right w:val="none" w:sz="0" w:space="0" w:color="auto"/>
      </w:divBdr>
    </w:div>
    <w:div w:id="2064786121">
      <w:bodyDiv w:val="1"/>
      <w:marLeft w:val="0"/>
      <w:marRight w:val="0"/>
      <w:marTop w:val="0"/>
      <w:marBottom w:val="0"/>
      <w:divBdr>
        <w:top w:val="none" w:sz="0" w:space="0" w:color="auto"/>
        <w:left w:val="none" w:sz="0" w:space="0" w:color="auto"/>
        <w:bottom w:val="none" w:sz="0" w:space="0" w:color="auto"/>
        <w:right w:val="none" w:sz="0" w:space="0" w:color="auto"/>
      </w:divBdr>
    </w:div>
    <w:div w:id="210037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28B35E-C34C-4DB7-B943-2F8E034B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7</Pages>
  <Words>1741</Words>
  <Characters>9578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www.intercambiosvirtuales.org</Company>
  <LinksUpToDate>false</LinksUpToDate>
  <CharactersWithSpaces>11297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www.intercambiosvirtuales.org</dc:creator>
  <cp:lastModifiedBy>admin</cp:lastModifiedBy>
  <cp:revision>48</cp:revision>
  <cp:lastPrinted>2019-09-12T19:30:00Z</cp:lastPrinted>
  <dcterms:created xsi:type="dcterms:W3CDTF">2019-10-02T20:16:00Z</dcterms:created>
  <dcterms:modified xsi:type="dcterms:W3CDTF">2019-10-24T21:33:00Z</dcterms:modified>
</cp:coreProperties>
</file>